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E44A0" w14:textId="3630B187" w:rsidR="006D26E9" w:rsidRPr="00E52B26" w:rsidRDefault="006D26E9" w:rsidP="00E52B26">
      <w:pPr>
        <w:pStyle w:val="Default"/>
        <w:spacing w:line="276" w:lineRule="auto"/>
        <w:jc w:val="center"/>
        <w:rPr>
          <w:b/>
        </w:rPr>
      </w:pPr>
      <w:r w:rsidRPr="00E52B26">
        <w:rPr>
          <w:b/>
        </w:rPr>
        <w:t>SCHEMA DI DECRETO-LEGGE RECANTE “DISPOSIZIONI URGENTI IN MATERIA DI SICUREZZA PUBBLICA E CONTRASTO ALLA CRIMINALITÀ MINORILE”</w:t>
      </w:r>
    </w:p>
    <w:p w14:paraId="6C5A7819" w14:textId="77777777" w:rsidR="006D26E9" w:rsidRPr="00E52B26" w:rsidRDefault="006D26E9" w:rsidP="00E52B26">
      <w:pPr>
        <w:pStyle w:val="Default"/>
        <w:spacing w:line="276" w:lineRule="auto"/>
        <w:jc w:val="center"/>
      </w:pPr>
    </w:p>
    <w:p w14:paraId="338A55A5" w14:textId="67DB8A6D" w:rsidR="009C1E09" w:rsidRPr="00E52B26" w:rsidRDefault="009C1E09" w:rsidP="00E52B26">
      <w:pPr>
        <w:pStyle w:val="Default"/>
        <w:spacing w:line="276" w:lineRule="auto"/>
        <w:jc w:val="center"/>
      </w:pPr>
      <w:r w:rsidRPr="00E52B26">
        <w:t>IL PRESIDENTE DELLA REPUBBLICA</w:t>
      </w:r>
    </w:p>
    <w:p w14:paraId="01C23B73" w14:textId="77777777" w:rsidR="009C1E09" w:rsidRPr="00E52B26" w:rsidRDefault="009C1E09" w:rsidP="00E52B26">
      <w:pPr>
        <w:pStyle w:val="Default"/>
        <w:spacing w:line="276" w:lineRule="auto"/>
        <w:jc w:val="center"/>
      </w:pPr>
    </w:p>
    <w:p w14:paraId="5D046857" w14:textId="501FF64E" w:rsidR="009C1E09" w:rsidRPr="00E52B26" w:rsidRDefault="009C1E09" w:rsidP="00951791">
      <w:pPr>
        <w:pStyle w:val="Default"/>
        <w:spacing w:line="360" w:lineRule="auto"/>
        <w:jc w:val="both"/>
      </w:pPr>
      <w:r w:rsidRPr="00E52B26">
        <w:rPr>
          <w:b/>
          <w:bCs/>
        </w:rPr>
        <w:t xml:space="preserve">VISTI </w:t>
      </w:r>
      <w:r w:rsidRPr="00E52B26">
        <w:t xml:space="preserve">gli articoli 77 e 87 della Costituzione; </w:t>
      </w:r>
    </w:p>
    <w:p w14:paraId="0D23C3CD" w14:textId="60E5AF57" w:rsidR="009C1E09" w:rsidRPr="00E52B26" w:rsidRDefault="009C1E09" w:rsidP="00951791">
      <w:pPr>
        <w:pStyle w:val="Default"/>
        <w:spacing w:line="360" w:lineRule="auto"/>
        <w:jc w:val="both"/>
      </w:pPr>
      <w:r w:rsidRPr="00E52B26">
        <w:rPr>
          <w:b/>
          <w:bCs/>
        </w:rPr>
        <w:t xml:space="preserve">VISTA </w:t>
      </w:r>
      <w:r w:rsidRPr="00E52B26">
        <w:t>la</w:t>
      </w:r>
      <w:r w:rsidRPr="00E52B26">
        <w:rPr>
          <w:b/>
          <w:bCs/>
        </w:rPr>
        <w:t xml:space="preserve"> </w:t>
      </w:r>
      <w:r w:rsidRPr="00E52B26">
        <w:t>legge 23 agosto 1988, n. 400, recante disciplina dell’attività di Governo e ordinamento della Presidenza del Consiglio dei ministri</w:t>
      </w:r>
      <w:r w:rsidR="00A07526" w:rsidRPr="00E52B26">
        <w:t xml:space="preserve"> e, in particolare, l’articolo 15</w:t>
      </w:r>
      <w:r w:rsidRPr="00E52B26">
        <w:t xml:space="preserve">; </w:t>
      </w:r>
    </w:p>
    <w:p w14:paraId="1FDBC1D9" w14:textId="67F60715" w:rsidR="009C1E09" w:rsidRPr="00E52B26" w:rsidRDefault="005357E5" w:rsidP="00951791">
      <w:pPr>
        <w:pStyle w:val="Default"/>
        <w:spacing w:line="360" w:lineRule="auto"/>
        <w:jc w:val="both"/>
      </w:pPr>
      <w:r>
        <w:rPr>
          <w:b/>
          <w:bCs/>
        </w:rPr>
        <w:t xml:space="preserve">CONSIDERATA </w:t>
      </w:r>
      <w:r w:rsidR="009C1E09" w:rsidRPr="00E52B26">
        <w:t>la necessità e urgenza di introdurre disposizioni per il potenziamento delle iniziative in materia di sicurezza urbana e a tutela dell’ordine e della sicurezza pubblica, nonché in materia di pubbliche manifestazioni</w:t>
      </w:r>
      <w:r w:rsidR="000002BF">
        <w:t xml:space="preserve"> e per il contrasto alla criminalità minorile</w:t>
      </w:r>
      <w:r w:rsidR="009C1E09" w:rsidRPr="00E52B26">
        <w:t xml:space="preserve">; </w:t>
      </w:r>
    </w:p>
    <w:p w14:paraId="1C985624" w14:textId="4E5FEA92" w:rsidR="009C1E09" w:rsidRPr="00E52B26" w:rsidRDefault="0054524E" w:rsidP="00951791">
      <w:pPr>
        <w:pStyle w:val="Default"/>
        <w:spacing w:line="360" w:lineRule="auto"/>
        <w:ind w:left="709" w:hanging="709"/>
        <w:jc w:val="both"/>
      </w:pPr>
      <w:r w:rsidRPr="00E52B26">
        <w:rPr>
          <w:b/>
          <w:bCs/>
        </w:rPr>
        <w:t xml:space="preserve">VISTA </w:t>
      </w:r>
      <w:r w:rsidR="009C1E09" w:rsidRPr="00E52B26">
        <w:t xml:space="preserve">la deliberazione del Consiglio dei ministri, adottata nella riunione del </w:t>
      </w:r>
      <w:r w:rsidRPr="00E52B26">
        <w:t>20</w:t>
      </w:r>
      <w:r w:rsidR="009C1E09" w:rsidRPr="00E52B26">
        <w:t xml:space="preserve"> </w:t>
      </w:r>
      <w:r w:rsidRPr="00E52B26">
        <w:t>ottobre</w:t>
      </w:r>
      <w:r w:rsidR="009C1E09" w:rsidRPr="00E52B26">
        <w:t xml:space="preserve"> 2026; </w:t>
      </w:r>
    </w:p>
    <w:p w14:paraId="1B2D58A8" w14:textId="39942350" w:rsidR="009C1E09" w:rsidRPr="00E52B26" w:rsidRDefault="0054524E" w:rsidP="00951791">
      <w:pPr>
        <w:pStyle w:val="Default"/>
        <w:spacing w:line="360" w:lineRule="auto"/>
        <w:jc w:val="both"/>
      </w:pPr>
      <w:r w:rsidRPr="00E52B26">
        <w:rPr>
          <w:b/>
          <w:bCs/>
        </w:rPr>
        <w:t xml:space="preserve">SULLA PROPOSTA </w:t>
      </w:r>
      <w:r w:rsidR="009C1E09" w:rsidRPr="00E52B26">
        <w:t>del Presidente del Consiglio dei ministri e dei Ministri dell’interno, della giustizia</w:t>
      </w:r>
      <w:r w:rsidR="00F03A9B">
        <w:t xml:space="preserve"> e</w:t>
      </w:r>
      <w:r w:rsidR="009C1E09" w:rsidRPr="00E52B26">
        <w:t xml:space="preserve"> della difesa; </w:t>
      </w:r>
    </w:p>
    <w:p w14:paraId="792558AB" w14:textId="77777777" w:rsidR="000072C7" w:rsidRDefault="000072C7" w:rsidP="00951791">
      <w:pPr>
        <w:pStyle w:val="Default"/>
        <w:spacing w:line="360" w:lineRule="auto"/>
        <w:jc w:val="center"/>
        <w:rPr>
          <w:b/>
          <w:bCs/>
        </w:rPr>
      </w:pPr>
    </w:p>
    <w:p w14:paraId="35AED3A3" w14:textId="1AF66249" w:rsidR="009C1E09" w:rsidRPr="00E52B26" w:rsidRDefault="009C1E09" w:rsidP="00E52B26">
      <w:pPr>
        <w:pStyle w:val="Default"/>
        <w:spacing w:line="276" w:lineRule="auto"/>
        <w:jc w:val="center"/>
      </w:pPr>
      <w:r w:rsidRPr="00E52B26">
        <w:rPr>
          <w:b/>
          <w:bCs/>
        </w:rPr>
        <w:t>EMANA</w:t>
      </w:r>
    </w:p>
    <w:p w14:paraId="13A88C15" w14:textId="0EF9ED4F" w:rsidR="00C306DB" w:rsidRPr="00E52B26" w:rsidRDefault="009C1E09" w:rsidP="00E52B26">
      <w:pPr>
        <w:spacing w:line="276" w:lineRule="auto"/>
        <w:jc w:val="center"/>
        <w:rPr>
          <w:sz w:val="24"/>
        </w:rPr>
      </w:pPr>
      <w:r w:rsidRPr="00E52B26">
        <w:rPr>
          <w:b/>
          <w:bCs/>
          <w:sz w:val="24"/>
        </w:rPr>
        <w:t>il seguente decreto-legge:</w:t>
      </w:r>
    </w:p>
    <w:p w14:paraId="3BCCBAF7" w14:textId="77777777" w:rsidR="009C1E09" w:rsidRPr="00E52B26" w:rsidRDefault="009C1E09" w:rsidP="00E52B26">
      <w:pPr>
        <w:spacing w:line="276" w:lineRule="auto"/>
        <w:ind w:left="709" w:right="543"/>
        <w:jc w:val="center"/>
        <w:rPr>
          <w:b/>
          <w:sz w:val="24"/>
        </w:rPr>
      </w:pPr>
    </w:p>
    <w:p w14:paraId="7DABFF07" w14:textId="4E5AA435" w:rsidR="00050C3A" w:rsidRPr="00E52B26" w:rsidRDefault="00050C3A" w:rsidP="00E52B26">
      <w:pPr>
        <w:spacing w:line="276" w:lineRule="auto"/>
        <w:jc w:val="center"/>
        <w:rPr>
          <w:b/>
          <w:sz w:val="24"/>
        </w:rPr>
      </w:pPr>
      <w:r w:rsidRPr="00E52B26">
        <w:rPr>
          <w:b/>
          <w:sz w:val="24"/>
        </w:rPr>
        <w:t xml:space="preserve">ART. </w:t>
      </w:r>
      <w:r w:rsidR="008906A5">
        <w:rPr>
          <w:b/>
          <w:sz w:val="24"/>
        </w:rPr>
        <w:t>1</w:t>
      </w:r>
    </w:p>
    <w:p w14:paraId="4A63B0DE" w14:textId="77777777" w:rsidR="00050C3A" w:rsidRPr="00E52B26" w:rsidRDefault="00050C3A" w:rsidP="00E52B26">
      <w:pPr>
        <w:spacing w:line="276" w:lineRule="auto"/>
        <w:jc w:val="center"/>
        <w:rPr>
          <w:sz w:val="24"/>
        </w:rPr>
      </w:pPr>
      <w:r w:rsidRPr="00E52B26">
        <w:rPr>
          <w:sz w:val="24"/>
        </w:rPr>
        <w:t>(</w:t>
      </w:r>
      <w:r w:rsidRPr="00E52B26">
        <w:rPr>
          <w:bCs/>
          <w:i/>
          <w:sz w:val="24"/>
        </w:rPr>
        <w:t xml:space="preserve">Modifiche al </w:t>
      </w:r>
      <w:proofErr w:type="gramStart"/>
      <w:r w:rsidRPr="00E52B26">
        <w:rPr>
          <w:bCs/>
          <w:i/>
          <w:sz w:val="24"/>
        </w:rPr>
        <w:t>codice penale</w:t>
      </w:r>
      <w:proofErr w:type="gramEnd"/>
      <w:r w:rsidRPr="00E52B26">
        <w:rPr>
          <w:sz w:val="24"/>
        </w:rPr>
        <w:t>)</w:t>
      </w:r>
    </w:p>
    <w:p w14:paraId="6D852244" w14:textId="77777777" w:rsidR="00050C3A" w:rsidRPr="00E52B26" w:rsidRDefault="00050C3A" w:rsidP="00E52B26">
      <w:pPr>
        <w:spacing w:line="276" w:lineRule="auto"/>
        <w:jc w:val="both"/>
        <w:rPr>
          <w:sz w:val="24"/>
        </w:rPr>
      </w:pPr>
    </w:p>
    <w:p w14:paraId="278080F1" w14:textId="3CD8CFF8" w:rsidR="00050C3A" w:rsidRPr="007D23AA" w:rsidRDefault="00050C3A" w:rsidP="00E52B26">
      <w:pPr>
        <w:spacing w:line="276" w:lineRule="auto"/>
        <w:jc w:val="both"/>
        <w:rPr>
          <w:sz w:val="24"/>
        </w:rPr>
      </w:pPr>
      <w:r w:rsidRPr="007D23AA">
        <w:rPr>
          <w:sz w:val="24"/>
        </w:rPr>
        <w:t xml:space="preserve">1. All’articolo 98, primo comma, del </w:t>
      </w:r>
      <w:proofErr w:type="gramStart"/>
      <w:r w:rsidRPr="007D23AA">
        <w:rPr>
          <w:sz w:val="24"/>
        </w:rPr>
        <w:t>codice penale</w:t>
      </w:r>
      <w:proofErr w:type="gramEnd"/>
      <w:r w:rsidRPr="007D23AA">
        <w:rPr>
          <w:sz w:val="24"/>
        </w:rPr>
        <w:t xml:space="preserve"> è aggiunto, in fine, il seguente periodo «nei casi di cui al primo periodo la capacità di intendere e di volere del minore si presume fino a prova contraria.»</w:t>
      </w:r>
      <w:r w:rsidR="007D23AA">
        <w:rPr>
          <w:sz w:val="24"/>
        </w:rPr>
        <w:t>.</w:t>
      </w:r>
    </w:p>
    <w:p w14:paraId="07DF694F" w14:textId="77777777" w:rsidR="00050C3A" w:rsidRPr="007D23AA" w:rsidRDefault="00050C3A" w:rsidP="00E52B26">
      <w:pPr>
        <w:spacing w:line="276" w:lineRule="auto"/>
        <w:jc w:val="both"/>
        <w:rPr>
          <w:sz w:val="24"/>
        </w:rPr>
      </w:pPr>
      <w:r w:rsidRPr="007D23AA">
        <w:rPr>
          <w:sz w:val="24"/>
        </w:rPr>
        <w:t xml:space="preserve">2. All’articolo 419 del </w:t>
      </w:r>
      <w:proofErr w:type="gramStart"/>
      <w:r w:rsidRPr="007D23AA">
        <w:rPr>
          <w:sz w:val="24"/>
        </w:rPr>
        <w:t>codice penale</w:t>
      </w:r>
      <w:proofErr w:type="gramEnd"/>
      <w:r w:rsidRPr="007D23AA">
        <w:rPr>
          <w:sz w:val="24"/>
        </w:rPr>
        <w:t>, dopo il comma secondo è aggiunto il seguente:</w:t>
      </w:r>
    </w:p>
    <w:p w14:paraId="20D7A151" w14:textId="77777777" w:rsidR="00050C3A" w:rsidRPr="007D23AA" w:rsidRDefault="00050C3A" w:rsidP="00E52B26">
      <w:pPr>
        <w:spacing w:line="276" w:lineRule="auto"/>
        <w:jc w:val="both"/>
        <w:rPr>
          <w:sz w:val="24"/>
        </w:rPr>
      </w:pPr>
      <w:r w:rsidRPr="007D23AA">
        <w:rPr>
          <w:sz w:val="24"/>
        </w:rPr>
        <w:t>«La pena è aumentata da un terzo alle metà se il fatto è commesso nel corso di manifestazioni in luogo pubblico o aperto al pubblico su beni esistenti in luogo di vendita o di deposito.».</w:t>
      </w:r>
    </w:p>
    <w:p w14:paraId="0B545AF3" w14:textId="77777777" w:rsidR="00050C3A" w:rsidRPr="00C23A16" w:rsidRDefault="00050C3A" w:rsidP="00E52B26">
      <w:pPr>
        <w:spacing w:line="276" w:lineRule="auto"/>
        <w:jc w:val="both"/>
        <w:rPr>
          <w:sz w:val="24"/>
        </w:rPr>
      </w:pPr>
      <w:r w:rsidRPr="007D23AA">
        <w:rPr>
          <w:sz w:val="24"/>
        </w:rPr>
        <w:t xml:space="preserve">3. All’articolo 420 del </w:t>
      </w:r>
      <w:proofErr w:type="gramStart"/>
      <w:r w:rsidRPr="007D23AA">
        <w:rPr>
          <w:sz w:val="24"/>
        </w:rPr>
        <w:t>codice penale</w:t>
      </w:r>
      <w:proofErr w:type="gramEnd"/>
      <w:r w:rsidRPr="007D23AA">
        <w:rPr>
          <w:sz w:val="24"/>
        </w:rPr>
        <w:t xml:space="preserve"> è aggiunto</w:t>
      </w:r>
      <w:r w:rsidRPr="00C23A16">
        <w:rPr>
          <w:sz w:val="24"/>
        </w:rPr>
        <w:t xml:space="preserve"> il comma seguente:</w:t>
      </w:r>
    </w:p>
    <w:p w14:paraId="3E31CA6F" w14:textId="1FAD5F21" w:rsidR="00050C3A" w:rsidRPr="00C23A16" w:rsidRDefault="00050C3A" w:rsidP="00E52B26">
      <w:pPr>
        <w:spacing w:line="276" w:lineRule="auto"/>
        <w:jc w:val="both"/>
        <w:rPr>
          <w:sz w:val="24"/>
        </w:rPr>
      </w:pPr>
      <w:r w:rsidRPr="00C23A16">
        <w:rPr>
          <w:sz w:val="24"/>
        </w:rPr>
        <w:t>«La pena è aumentata da un terzo all</w:t>
      </w:r>
      <w:r w:rsidR="006E3D93">
        <w:rPr>
          <w:sz w:val="24"/>
        </w:rPr>
        <w:t>a</w:t>
      </w:r>
      <w:r w:rsidRPr="00C23A16">
        <w:rPr>
          <w:sz w:val="24"/>
        </w:rPr>
        <w:t xml:space="preserve"> metà se il fatto è commesso nel corso di manifestazioni in luogo pubblico o aperto al pubblico.».</w:t>
      </w:r>
    </w:p>
    <w:p w14:paraId="6F26546D" w14:textId="0F374BE7" w:rsidR="0041354B" w:rsidRPr="009B3BCB" w:rsidRDefault="00050C3A" w:rsidP="0041354B">
      <w:pPr>
        <w:spacing w:line="276" w:lineRule="auto"/>
        <w:jc w:val="both"/>
        <w:rPr>
          <w:bCs/>
          <w:sz w:val="24"/>
        </w:rPr>
      </w:pPr>
      <w:r w:rsidRPr="00C23A16">
        <w:rPr>
          <w:sz w:val="24"/>
        </w:rPr>
        <w:t>4</w:t>
      </w:r>
      <w:r w:rsidR="0041354B" w:rsidRPr="009B3BCB">
        <w:rPr>
          <w:bCs/>
          <w:sz w:val="24"/>
        </w:rPr>
        <w:t>. Dopo l’articolo 420 è inserito il seguente:</w:t>
      </w:r>
    </w:p>
    <w:p w14:paraId="2C81C08D" w14:textId="77777777" w:rsidR="0041354B" w:rsidRPr="009B3BCB" w:rsidRDefault="0041354B" w:rsidP="0041354B">
      <w:pPr>
        <w:spacing w:line="276" w:lineRule="auto"/>
        <w:jc w:val="center"/>
        <w:rPr>
          <w:bCs/>
          <w:i/>
          <w:iCs/>
          <w:sz w:val="24"/>
        </w:rPr>
      </w:pPr>
      <w:r w:rsidRPr="009B3BCB">
        <w:rPr>
          <w:bCs/>
          <w:sz w:val="24"/>
        </w:rPr>
        <w:t>«</w:t>
      </w:r>
      <w:r w:rsidRPr="00187476">
        <w:rPr>
          <w:bCs/>
          <w:sz w:val="24"/>
        </w:rPr>
        <w:t>Art. 420-bis</w:t>
      </w:r>
    </w:p>
    <w:p w14:paraId="08C4AAE2" w14:textId="77777777" w:rsidR="0041354B" w:rsidRPr="009B3BCB" w:rsidRDefault="0041354B" w:rsidP="0041354B">
      <w:pPr>
        <w:spacing w:line="276" w:lineRule="auto"/>
        <w:jc w:val="center"/>
        <w:rPr>
          <w:bCs/>
          <w:i/>
          <w:iCs/>
          <w:sz w:val="24"/>
        </w:rPr>
      </w:pPr>
      <w:r w:rsidRPr="009B3BCB">
        <w:rPr>
          <w:bCs/>
          <w:i/>
          <w:iCs/>
          <w:sz w:val="24"/>
        </w:rPr>
        <w:t>(</w:t>
      </w:r>
      <w:r>
        <w:rPr>
          <w:bCs/>
          <w:i/>
          <w:iCs/>
          <w:sz w:val="24"/>
        </w:rPr>
        <w:t>V</w:t>
      </w:r>
      <w:r w:rsidRPr="009B3BCB">
        <w:rPr>
          <w:bCs/>
          <w:i/>
          <w:iCs/>
          <w:sz w:val="24"/>
        </w:rPr>
        <w:t>iolen</w:t>
      </w:r>
      <w:r>
        <w:rPr>
          <w:bCs/>
          <w:i/>
          <w:iCs/>
          <w:sz w:val="24"/>
        </w:rPr>
        <w:t>z</w:t>
      </w:r>
      <w:r w:rsidRPr="009B3BCB">
        <w:rPr>
          <w:bCs/>
          <w:i/>
          <w:iCs/>
          <w:sz w:val="24"/>
        </w:rPr>
        <w:t xml:space="preserve">a </w:t>
      </w:r>
      <w:r>
        <w:rPr>
          <w:bCs/>
          <w:i/>
          <w:iCs/>
          <w:sz w:val="24"/>
        </w:rPr>
        <w:t xml:space="preserve">organizzata nelle </w:t>
      </w:r>
      <w:r w:rsidRPr="009B3BCB">
        <w:rPr>
          <w:bCs/>
          <w:i/>
          <w:iCs/>
          <w:sz w:val="24"/>
        </w:rPr>
        <w:t>manifestazioni pubbliche)</w:t>
      </w:r>
    </w:p>
    <w:p w14:paraId="4F695923" w14:textId="6ABCD76E" w:rsidR="0041354B" w:rsidRDefault="006E3D93" w:rsidP="0041354B">
      <w:pPr>
        <w:spacing w:line="276" w:lineRule="auto"/>
        <w:jc w:val="both"/>
        <w:rPr>
          <w:bCs/>
          <w:sz w:val="24"/>
        </w:rPr>
      </w:pPr>
      <w:r>
        <w:rPr>
          <w:bCs/>
          <w:sz w:val="24"/>
        </w:rPr>
        <w:t xml:space="preserve">1. </w:t>
      </w:r>
      <w:r w:rsidR="0041354B" w:rsidRPr="00187476">
        <w:rPr>
          <w:bCs/>
          <w:sz w:val="24"/>
        </w:rPr>
        <w:t xml:space="preserve">Salvo che il fatto costituisca più grave reato, chiunque, nel corso di manifestazioni in luogo pubblico o aperto al pubblico, partecipando ad un gruppo composto da almeno cinque persone che opera in modo organizzato anche occasionalmente, utilizza illegittimamente bastoni, mazze, oggetti contundenti o, comunque, atti a offendere, ovvero lancia i medesimi oggetti oppure razzi, bengala, fuochi artificiali, petardi, strumenti per l'emissione di fumo o di gas visibile o in grado di nebulizzare gas contenenti principi attivi urticanti, in modo da </w:t>
      </w:r>
      <w:r>
        <w:rPr>
          <w:bCs/>
          <w:sz w:val="24"/>
        </w:rPr>
        <w:t>determinare</w:t>
      </w:r>
      <w:r w:rsidR="0041354B" w:rsidRPr="00187476">
        <w:rPr>
          <w:bCs/>
          <w:sz w:val="24"/>
        </w:rPr>
        <w:t xml:space="preserve"> un concreto pericolo per l'incolumità delle persone, è punito con la reclusione da due a cinque anni e con la multa da euro 10.000 a euro 20.000.</w:t>
      </w:r>
    </w:p>
    <w:p w14:paraId="4BECE40D" w14:textId="1B3806CB" w:rsidR="0041354B" w:rsidRPr="00494199" w:rsidRDefault="0041354B" w:rsidP="0041354B">
      <w:pPr>
        <w:spacing w:line="276" w:lineRule="auto"/>
        <w:jc w:val="both"/>
        <w:rPr>
          <w:bCs/>
          <w:sz w:val="24"/>
        </w:rPr>
      </w:pPr>
      <w:r w:rsidRPr="00494199">
        <w:rPr>
          <w:bCs/>
          <w:sz w:val="24"/>
        </w:rPr>
        <w:lastRenderedPageBreak/>
        <w:t>La pena è aumentata da un terzo alla metà se:</w:t>
      </w:r>
    </w:p>
    <w:p w14:paraId="59F5B730" w14:textId="0E36E232" w:rsidR="0041354B" w:rsidRPr="00494199" w:rsidRDefault="0041354B" w:rsidP="0041354B">
      <w:pPr>
        <w:spacing w:line="276" w:lineRule="auto"/>
        <w:jc w:val="both"/>
        <w:rPr>
          <w:bCs/>
          <w:sz w:val="24"/>
        </w:rPr>
      </w:pPr>
      <w:r w:rsidRPr="00494199">
        <w:rPr>
          <w:bCs/>
          <w:sz w:val="24"/>
        </w:rPr>
        <w:t>a)</w:t>
      </w:r>
      <w:r>
        <w:rPr>
          <w:bCs/>
          <w:sz w:val="24"/>
        </w:rPr>
        <w:t xml:space="preserve"> </w:t>
      </w:r>
      <w:r w:rsidRPr="00494199">
        <w:rPr>
          <w:bCs/>
          <w:sz w:val="24"/>
        </w:rPr>
        <w:t>il fatto è commesso da soggetti che agiscono travisati o comunque con modalità idonee a rendere difficoltosa l’identificazione;</w:t>
      </w:r>
    </w:p>
    <w:p w14:paraId="42819EEE" w14:textId="3BD26E57" w:rsidR="0041354B" w:rsidRPr="00494199" w:rsidRDefault="0041354B" w:rsidP="0041354B">
      <w:pPr>
        <w:spacing w:line="276" w:lineRule="auto"/>
        <w:jc w:val="both"/>
        <w:rPr>
          <w:bCs/>
          <w:sz w:val="24"/>
        </w:rPr>
      </w:pPr>
      <w:r w:rsidRPr="00494199">
        <w:rPr>
          <w:bCs/>
          <w:sz w:val="24"/>
        </w:rPr>
        <w:t>b)</w:t>
      </w:r>
      <w:r>
        <w:rPr>
          <w:bCs/>
          <w:sz w:val="24"/>
        </w:rPr>
        <w:t xml:space="preserve"> </w:t>
      </w:r>
      <w:r w:rsidRPr="00494199">
        <w:rPr>
          <w:bCs/>
          <w:sz w:val="24"/>
        </w:rPr>
        <w:t>il lancio o l’utilizzo di oggetti atti ad offendere è diretto contro infrastrutture destinate all'erogazione di energia, di servizi di trasporto, di telecomunicazioni o di altri servizi pubblici, o di beni mobili o immobili adibiti all'esercizio di funzioni pubbliche, destinati a pubblico servizio o a pubblica utilità o esposti alla pubblica fede.</w:t>
      </w:r>
    </w:p>
    <w:p w14:paraId="01BAD8EC" w14:textId="77777777" w:rsidR="0041354B" w:rsidRPr="00BC50E3" w:rsidRDefault="0041354B" w:rsidP="0041354B">
      <w:pPr>
        <w:spacing w:line="276" w:lineRule="auto"/>
        <w:jc w:val="both"/>
        <w:rPr>
          <w:bCs/>
          <w:sz w:val="24"/>
        </w:rPr>
      </w:pPr>
      <w:r w:rsidRPr="00494199">
        <w:rPr>
          <w:bCs/>
          <w:sz w:val="24"/>
        </w:rPr>
        <w:t xml:space="preserve">Chiunque, anche mediante strumenti informatici o telematici, organizza o promuove la formazione del gruppo di cui al primo comma oppure incita o istiga alla commissione delle condotte di cui al </w:t>
      </w:r>
      <w:r w:rsidRPr="00BC50E3">
        <w:rPr>
          <w:bCs/>
          <w:sz w:val="24"/>
        </w:rPr>
        <w:t xml:space="preserve">primo comma è punito con la reclusione da quattro a dodici anni. </w:t>
      </w:r>
    </w:p>
    <w:p w14:paraId="78207BA5" w14:textId="77777777" w:rsidR="0041354B" w:rsidRPr="00494199" w:rsidRDefault="0041354B" w:rsidP="0041354B">
      <w:pPr>
        <w:spacing w:line="276" w:lineRule="auto"/>
        <w:jc w:val="both"/>
        <w:rPr>
          <w:bCs/>
          <w:sz w:val="24"/>
        </w:rPr>
      </w:pPr>
      <w:r w:rsidRPr="00BC50E3">
        <w:rPr>
          <w:bCs/>
          <w:sz w:val="24"/>
        </w:rPr>
        <w:t>Se le condotte di cui al primo comma cagionano lesioni personali le pene di cui agli articoli 582, 583, 583-</w:t>
      </w:r>
      <w:r w:rsidRPr="00BC50E3">
        <w:rPr>
          <w:bCs/>
          <w:i/>
          <w:iCs/>
          <w:sz w:val="24"/>
        </w:rPr>
        <w:t>quater</w:t>
      </w:r>
      <w:r w:rsidRPr="00BC50E3">
        <w:rPr>
          <w:bCs/>
          <w:sz w:val="24"/>
        </w:rPr>
        <w:t xml:space="preserve"> e 583-</w:t>
      </w:r>
      <w:r w:rsidRPr="00BC50E3">
        <w:rPr>
          <w:bCs/>
          <w:i/>
          <w:iCs/>
          <w:sz w:val="24"/>
        </w:rPr>
        <w:t>quinquies</w:t>
      </w:r>
      <w:r w:rsidRPr="00BC50E3">
        <w:rPr>
          <w:bCs/>
          <w:sz w:val="24"/>
        </w:rPr>
        <w:t xml:space="preserve"> sono aumentate da un terzo alla metà</w:t>
      </w:r>
      <w:r>
        <w:rPr>
          <w:bCs/>
          <w:sz w:val="24"/>
        </w:rPr>
        <w:t>.</w:t>
      </w:r>
      <w:r w:rsidRPr="00BC50E3">
        <w:rPr>
          <w:bCs/>
          <w:sz w:val="24"/>
        </w:rPr>
        <w:t>».</w:t>
      </w:r>
    </w:p>
    <w:p w14:paraId="470135DB" w14:textId="77777777" w:rsidR="005318B4" w:rsidRPr="00301789" w:rsidRDefault="005318B4" w:rsidP="005318B4">
      <w:pPr>
        <w:spacing w:line="259" w:lineRule="auto"/>
        <w:jc w:val="both"/>
        <w:rPr>
          <w:bCs/>
          <w:sz w:val="24"/>
        </w:rPr>
      </w:pPr>
      <w:r w:rsidRPr="009B3BCB">
        <w:rPr>
          <w:bCs/>
          <w:sz w:val="24"/>
        </w:rPr>
        <w:t xml:space="preserve">5. </w:t>
      </w:r>
      <w:r w:rsidRPr="00301789">
        <w:rPr>
          <w:bCs/>
          <w:sz w:val="24"/>
        </w:rPr>
        <w:t xml:space="preserve">All’articolo 582, secondo comma, del </w:t>
      </w:r>
      <w:proofErr w:type="gramStart"/>
      <w:r w:rsidRPr="00301789">
        <w:rPr>
          <w:bCs/>
          <w:sz w:val="24"/>
        </w:rPr>
        <w:t>codice penale</w:t>
      </w:r>
      <w:proofErr w:type="gramEnd"/>
      <w:r w:rsidRPr="00301789">
        <w:rPr>
          <w:bCs/>
          <w:sz w:val="24"/>
        </w:rPr>
        <w:t>, dopo le parole «</w:t>
      </w:r>
      <w:r w:rsidRPr="00301789">
        <w:rPr>
          <w:bCs/>
          <w:iCs/>
          <w:sz w:val="24"/>
        </w:rPr>
        <w:t>583</w:t>
      </w:r>
      <w:r w:rsidRPr="00301789">
        <w:rPr>
          <w:bCs/>
          <w:i/>
          <w:sz w:val="24"/>
        </w:rPr>
        <w:t>-quater</w:t>
      </w:r>
      <w:r w:rsidRPr="00301789">
        <w:rPr>
          <w:bCs/>
          <w:sz w:val="24"/>
        </w:rPr>
        <w:t>,» sono aggiunte le seguenti: «primo comma,».</w:t>
      </w:r>
    </w:p>
    <w:p w14:paraId="147BE283" w14:textId="77777777" w:rsidR="005318B4" w:rsidRPr="009B3BCB" w:rsidRDefault="005318B4" w:rsidP="00574987">
      <w:pPr>
        <w:spacing w:line="276" w:lineRule="auto"/>
        <w:jc w:val="both"/>
        <w:rPr>
          <w:bCs/>
          <w:sz w:val="24"/>
        </w:rPr>
      </w:pPr>
      <w:r>
        <w:rPr>
          <w:bCs/>
          <w:sz w:val="24"/>
        </w:rPr>
        <w:t xml:space="preserve">6. </w:t>
      </w:r>
      <w:r w:rsidRPr="009B3BCB">
        <w:rPr>
          <w:bCs/>
          <w:sz w:val="24"/>
        </w:rPr>
        <w:t xml:space="preserve">Dopo l’articolo 635 del </w:t>
      </w:r>
      <w:proofErr w:type="gramStart"/>
      <w:r w:rsidRPr="009B3BCB">
        <w:rPr>
          <w:bCs/>
          <w:sz w:val="24"/>
        </w:rPr>
        <w:t>codice penale</w:t>
      </w:r>
      <w:proofErr w:type="gramEnd"/>
      <w:r w:rsidRPr="009B3BCB">
        <w:rPr>
          <w:bCs/>
          <w:sz w:val="24"/>
        </w:rPr>
        <w:t xml:space="preserve"> è inserito il seguente:</w:t>
      </w:r>
    </w:p>
    <w:p w14:paraId="6FAD67CC" w14:textId="77777777" w:rsidR="005318B4" w:rsidRPr="009B3BCB" w:rsidRDefault="005318B4" w:rsidP="00574987">
      <w:pPr>
        <w:spacing w:line="276" w:lineRule="auto"/>
        <w:jc w:val="center"/>
        <w:rPr>
          <w:bCs/>
          <w:sz w:val="24"/>
        </w:rPr>
      </w:pPr>
      <w:r w:rsidRPr="009B3BCB">
        <w:rPr>
          <w:bCs/>
          <w:sz w:val="24"/>
        </w:rPr>
        <w:t>Art. 635.1</w:t>
      </w:r>
    </w:p>
    <w:p w14:paraId="6A73DD64" w14:textId="6F2B92E6" w:rsidR="005318B4" w:rsidRPr="00187476" w:rsidRDefault="005318B4" w:rsidP="00574987">
      <w:pPr>
        <w:spacing w:line="276" w:lineRule="auto"/>
        <w:jc w:val="center"/>
        <w:rPr>
          <w:bCs/>
          <w:i/>
          <w:iCs/>
          <w:sz w:val="24"/>
        </w:rPr>
      </w:pPr>
      <w:r w:rsidRPr="00187476">
        <w:rPr>
          <w:bCs/>
          <w:i/>
          <w:iCs/>
          <w:sz w:val="24"/>
        </w:rPr>
        <w:t xml:space="preserve">(Danneggiamento </w:t>
      </w:r>
      <w:r w:rsidR="00E357C0">
        <w:rPr>
          <w:bCs/>
          <w:i/>
          <w:iCs/>
          <w:sz w:val="24"/>
        </w:rPr>
        <w:t xml:space="preserve">commesso da un </w:t>
      </w:r>
      <w:r w:rsidR="00AF3ACF">
        <w:rPr>
          <w:bCs/>
          <w:i/>
          <w:iCs/>
          <w:sz w:val="24"/>
        </w:rPr>
        <w:t xml:space="preserve">gruppo </w:t>
      </w:r>
      <w:r w:rsidRPr="00187476">
        <w:rPr>
          <w:bCs/>
          <w:i/>
          <w:iCs/>
          <w:sz w:val="24"/>
        </w:rPr>
        <w:t>organizzato)</w:t>
      </w:r>
    </w:p>
    <w:p w14:paraId="7A012EE6" w14:textId="3C5A008A" w:rsidR="005318B4" w:rsidRPr="009B3BCB" w:rsidRDefault="005318B4" w:rsidP="00574987">
      <w:pPr>
        <w:spacing w:line="276" w:lineRule="auto"/>
        <w:jc w:val="both"/>
        <w:rPr>
          <w:bCs/>
          <w:sz w:val="24"/>
        </w:rPr>
      </w:pPr>
      <w:r w:rsidRPr="009B3BCB">
        <w:rPr>
          <w:bCs/>
          <w:sz w:val="24"/>
        </w:rPr>
        <w:t xml:space="preserve">«Quando le condotte di cui all’articolo 635, </w:t>
      </w:r>
      <w:r w:rsidR="00AF3ACF">
        <w:rPr>
          <w:bCs/>
          <w:sz w:val="24"/>
        </w:rPr>
        <w:t xml:space="preserve">primo, secondo e </w:t>
      </w:r>
      <w:r w:rsidRPr="009B3BCB">
        <w:rPr>
          <w:bCs/>
          <w:sz w:val="24"/>
        </w:rPr>
        <w:t xml:space="preserve">terzo comma, sono poste in essere da un gruppo </w:t>
      </w:r>
      <w:r w:rsidRPr="00E357C0">
        <w:rPr>
          <w:bCs/>
          <w:sz w:val="24"/>
        </w:rPr>
        <w:t xml:space="preserve">organizzato </w:t>
      </w:r>
      <w:r w:rsidR="00E357C0" w:rsidRPr="00E357C0">
        <w:rPr>
          <w:bCs/>
          <w:sz w:val="24"/>
        </w:rPr>
        <w:t>di</w:t>
      </w:r>
      <w:r w:rsidR="00B43630">
        <w:rPr>
          <w:bCs/>
          <w:sz w:val="24"/>
        </w:rPr>
        <w:t xml:space="preserve"> almeno</w:t>
      </w:r>
      <w:r w:rsidR="00E357C0" w:rsidRPr="00E357C0">
        <w:rPr>
          <w:bCs/>
          <w:sz w:val="24"/>
        </w:rPr>
        <w:t xml:space="preserve"> </w:t>
      </w:r>
      <w:r w:rsidRPr="00E357C0">
        <w:rPr>
          <w:bCs/>
          <w:sz w:val="24"/>
        </w:rPr>
        <w:t>cinque</w:t>
      </w:r>
      <w:r w:rsidR="00E357C0" w:rsidRPr="00E357C0">
        <w:rPr>
          <w:bCs/>
          <w:sz w:val="24"/>
        </w:rPr>
        <w:t xml:space="preserve"> </w:t>
      </w:r>
      <w:r w:rsidR="00E357C0">
        <w:rPr>
          <w:bCs/>
          <w:sz w:val="24"/>
        </w:rPr>
        <w:t>persone</w:t>
      </w:r>
      <w:r w:rsidRPr="009B3BCB">
        <w:rPr>
          <w:bCs/>
          <w:sz w:val="24"/>
        </w:rPr>
        <w:t>,</w:t>
      </w:r>
      <w:r w:rsidR="000313B8">
        <w:rPr>
          <w:bCs/>
          <w:sz w:val="24"/>
        </w:rPr>
        <w:t xml:space="preserve"> </w:t>
      </w:r>
      <w:r w:rsidRPr="009B3BCB">
        <w:rPr>
          <w:bCs/>
          <w:sz w:val="24"/>
        </w:rPr>
        <w:t xml:space="preserve">la pena è </w:t>
      </w:r>
      <w:r w:rsidR="00FD5F00">
        <w:rPr>
          <w:bCs/>
          <w:sz w:val="24"/>
        </w:rPr>
        <w:t>aumentata da un terzo alla metà</w:t>
      </w:r>
      <w:r w:rsidRPr="009B3BCB">
        <w:rPr>
          <w:bCs/>
          <w:sz w:val="24"/>
        </w:rPr>
        <w:t>.».</w:t>
      </w:r>
    </w:p>
    <w:p w14:paraId="19A00490" w14:textId="77777777" w:rsidR="00050C3A" w:rsidRPr="00E52B26" w:rsidRDefault="00050C3A" w:rsidP="00E52B26">
      <w:pPr>
        <w:spacing w:line="276" w:lineRule="auto"/>
        <w:jc w:val="both"/>
        <w:rPr>
          <w:i/>
          <w:iCs/>
          <w:sz w:val="24"/>
        </w:rPr>
      </w:pPr>
    </w:p>
    <w:p w14:paraId="2ADBCFB9" w14:textId="23CB6A2D" w:rsidR="00050C3A" w:rsidRPr="00E52B26" w:rsidRDefault="00050C3A" w:rsidP="00E52B26">
      <w:pPr>
        <w:spacing w:line="276" w:lineRule="auto"/>
        <w:jc w:val="center"/>
        <w:rPr>
          <w:b/>
          <w:sz w:val="24"/>
        </w:rPr>
      </w:pPr>
      <w:r w:rsidRPr="00E52B26">
        <w:rPr>
          <w:b/>
          <w:sz w:val="24"/>
        </w:rPr>
        <w:t xml:space="preserve">ART. </w:t>
      </w:r>
      <w:r w:rsidR="008906A5">
        <w:rPr>
          <w:b/>
          <w:sz w:val="24"/>
        </w:rPr>
        <w:t>2</w:t>
      </w:r>
    </w:p>
    <w:p w14:paraId="4DBCA3A7" w14:textId="77777777" w:rsidR="00050C3A" w:rsidRPr="006F11E2" w:rsidRDefault="00050C3A" w:rsidP="00E52B26">
      <w:pPr>
        <w:spacing w:line="276" w:lineRule="auto"/>
        <w:jc w:val="center"/>
        <w:rPr>
          <w:sz w:val="24"/>
        </w:rPr>
      </w:pPr>
      <w:r w:rsidRPr="006F11E2">
        <w:rPr>
          <w:sz w:val="24"/>
        </w:rPr>
        <w:t>(</w:t>
      </w:r>
      <w:r w:rsidRPr="006F11E2">
        <w:rPr>
          <w:bCs/>
          <w:i/>
          <w:sz w:val="24"/>
        </w:rPr>
        <w:t>Modifiche al codice di procedura penale</w:t>
      </w:r>
      <w:r w:rsidRPr="006F11E2">
        <w:rPr>
          <w:sz w:val="24"/>
        </w:rPr>
        <w:t>)</w:t>
      </w:r>
    </w:p>
    <w:p w14:paraId="03F70C7C" w14:textId="655EB4DA" w:rsidR="00050C3A" w:rsidRPr="006F11E2" w:rsidRDefault="00B60F99" w:rsidP="0056730F">
      <w:pPr>
        <w:spacing w:line="276" w:lineRule="auto"/>
        <w:jc w:val="both"/>
        <w:rPr>
          <w:sz w:val="24"/>
        </w:rPr>
      </w:pPr>
      <w:r>
        <w:rPr>
          <w:sz w:val="24"/>
        </w:rPr>
        <w:t>1</w:t>
      </w:r>
      <w:r w:rsidR="00066B5A">
        <w:rPr>
          <w:sz w:val="24"/>
        </w:rPr>
        <w:t xml:space="preserve">. </w:t>
      </w:r>
      <w:r w:rsidR="00050C3A" w:rsidRPr="006F11E2">
        <w:rPr>
          <w:sz w:val="24"/>
        </w:rPr>
        <w:t>All’articolo 382-bis del codice di procedura penale al comma 1.1, dopo le parole «altresì, nei casi di cui agli articoli» sono aggiunte le seguenti: «419, 420, 420-bis, 635.1»</w:t>
      </w:r>
    </w:p>
    <w:p w14:paraId="262B4641" w14:textId="77777777" w:rsidR="00C83259" w:rsidRDefault="00C83259" w:rsidP="00CF2149">
      <w:pPr>
        <w:spacing w:line="276" w:lineRule="auto"/>
        <w:rPr>
          <w:b/>
          <w:sz w:val="24"/>
        </w:rPr>
      </w:pPr>
    </w:p>
    <w:p w14:paraId="103EAC21" w14:textId="36788398" w:rsidR="00050C3A" w:rsidRPr="00E52B26" w:rsidRDefault="00050C3A" w:rsidP="00E52B26">
      <w:pPr>
        <w:spacing w:line="276" w:lineRule="auto"/>
        <w:jc w:val="center"/>
        <w:rPr>
          <w:b/>
          <w:sz w:val="24"/>
        </w:rPr>
      </w:pPr>
      <w:r w:rsidRPr="00E52B26">
        <w:rPr>
          <w:b/>
          <w:sz w:val="24"/>
        </w:rPr>
        <w:t xml:space="preserve">ART. </w:t>
      </w:r>
      <w:r w:rsidR="008906A5">
        <w:rPr>
          <w:b/>
          <w:sz w:val="24"/>
        </w:rPr>
        <w:t>3</w:t>
      </w:r>
    </w:p>
    <w:p w14:paraId="4F5E280F" w14:textId="77777777" w:rsidR="00050C3A" w:rsidRPr="00E52B26" w:rsidRDefault="00050C3A" w:rsidP="00E52B26">
      <w:pPr>
        <w:spacing w:line="276" w:lineRule="auto"/>
        <w:jc w:val="center"/>
        <w:rPr>
          <w:sz w:val="24"/>
        </w:rPr>
      </w:pPr>
      <w:r w:rsidRPr="00E52B26">
        <w:rPr>
          <w:sz w:val="24"/>
        </w:rPr>
        <w:t>(</w:t>
      </w:r>
      <w:r w:rsidRPr="00E52B26">
        <w:rPr>
          <w:bCs/>
          <w:i/>
          <w:sz w:val="24"/>
        </w:rPr>
        <w:t>Modifiche al decreto del Presidente della Repubblica 22 settembre 1988, n. 448</w:t>
      </w:r>
      <w:r w:rsidRPr="00E52B26">
        <w:rPr>
          <w:sz w:val="24"/>
        </w:rPr>
        <w:t>)</w:t>
      </w:r>
    </w:p>
    <w:p w14:paraId="77DFFBC5" w14:textId="77777777" w:rsidR="00FC01F2" w:rsidRPr="00E52B26" w:rsidRDefault="00FC01F2" w:rsidP="00E52B26">
      <w:pPr>
        <w:spacing w:line="276" w:lineRule="auto"/>
        <w:jc w:val="both"/>
        <w:rPr>
          <w:sz w:val="24"/>
        </w:rPr>
      </w:pPr>
    </w:p>
    <w:p w14:paraId="1BD0AB12" w14:textId="77777777" w:rsidR="00E779C0" w:rsidRPr="003774B0" w:rsidRDefault="00E779C0" w:rsidP="00E779C0">
      <w:pPr>
        <w:pStyle w:val="Paragrafoelenco"/>
        <w:numPr>
          <w:ilvl w:val="0"/>
          <w:numId w:val="5"/>
        </w:numPr>
        <w:spacing w:after="160" w:line="276" w:lineRule="auto"/>
        <w:ind w:left="567"/>
        <w:rPr>
          <w:bCs/>
          <w:iCs/>
          <w:sz w:val="24"/>
        </w:rPr>
      </w:pPr>
      <w:r w:rsidRPr="003774B0">
        <w:rPr>
          <w:bCs/>
          <w:iCs/>
          <w:sz w:val="24"/>
        </w:rPr>
        <w:t>Al decreto del Presidente della Repubblica 22 settembre 1988, n. 448 sono apportate le seguenti modificazioni:</w:t>
      </w:r>
    </w:p>
    <w:p w14:paraId="2F3F8A69" w14:textId="77777777" w:rsidR="00E779C0" w:rsidRPr="003774B0" w:rsidRDefault="00E779C0" w:rsidP="00E779C0">
      <w:pPr>
        <w:pStyle w:val="Paragrafoelenco"/>
        <w:numPr>
          <w:ilvl w:val="0"/>
          <w:numId w:val="6"/>
        </w:numPr>
        <w:spacing w:after="160" w:line="276" w:lineRule="auto"/>
        <w:ind w:left="567" w:hanging="141"/>
        <w:rPr>
          <w:bCs/>
          <w:iCs/>
          <w:sz w:val="24"/>
        </w:rPr>
      </w:pPr>
      <w:r w:rsidRPr="003774B0">
        <w:rPr>
          <w:bCs/>
          <w:iCs/>
          <w:sz w:val="24"/>
        </w:rPr>
        <w:t>all’articolo 9 sono apportate le seguenti modificazioni:</w:t>
      </w:r>
    </w:p>
    <w:p w14:paraId="33ADB2D1" w14:textId="77777777" w:rsidR="00E779C0" w:rsidRPr="003774B0" w:rsidRDefault="00E779C0" w:rsidP="00E779C0">
      <w:pPr>
        <w:pStyle w:val="Paragrafoelenco"/>
        <w:numPr>
          <w:ilvl w:val="0"/>
          <w:numId w:val="7"/>
        </w:numPr>
        <w:spacing w:after="160" w:line="276" w:lineRule="auto"/>
        <w:ind w:left="993"/>
        <w:rPr>
          <w:bCs/>
          <w:iCs/>
          <w:sz w:val="24"/>
        </w:rPr>
      </w:pPr>
      <w:r w:rsidRPr="003774B0">
        <w:rPr>
          <w:bCs/>
          <w:iCs/>
          <w:sz w:val="24"/>
        </w:rPr>
        <w:t>al comma 1 le parole: «l’imputabilità e» sono soppresse;</w:t>
      </w:r>
    </w:p>
    <w:p w14:paraId="29B1B925" w14:textId="77777777" w:rsidR="00E779C0" w:rsidRPr="009B3BCB" w:rsidRDefault="00E779C0" w:rsidP="00E779C0">
      <w:pPr>
        <w:pStyle w:val="Paragrafoelenco"/>
        <w:numPr>
          <w:ilvl w:val="0"/>
          <w:numId w:val="7"/>
        </w:numPr>
        <w:spacing w:after="160" w:line="276" w:lineRule="auto"/>
        <w:ind w:left="993"/>
        <w:rPr>
          <w:bCs/>
          <w:sz w:val="24"/>
        </w:rPr>
      </w:pPr>
      <w:r w:rsidRPr="003774B0">
        <w:rPr>
          <w:bCs/>
          <w:iCs/>
          <w:sz w:val="24"/>
        </w:rPr>
        <w:t>dopo il comma 1 è inserito il seguente: «1-</w:t>
      </w:r>
      <w:r w:rsidRPr="003774B0">
        <w:rPr>
          <w:bCs/>
          <w:i/>
          <w:sz w:val="24"/>
        </w:rPr>
        <w:t>bis</w:t>
      </w:r>
      <w:r w:rsidRPr="003774B0">
        <w:rPr>
          <w:bCs/>
          <w:iCs/>
          <w:sz w:val="24"/>
        </w:rPr>
        <w:t xml:space="preserve"> Il pubblico ministero e il giudice possono altresì</w:t>
      </w:r>
      <w:r w:rsidRPr="009B3BCB">
        <w:rPr>
          <w:bCs/>
          <w:sz w:val="24"/>
        </w:rPr>
        <w:t xml:space="preserve"> acquisire elementi ai fini del giudizio sull’imputabilità ai sensi dell’articolo 98, primo comma, secondo periodo, del </w:t>
      </w:r>
      <w:proofErr w:type="gramStart"/>
      <w:r w:rsidRPr="009B3BCB">
        <w:rPr>
          <w:bCs/>
          <w:sz w:val="24"/>
        </w:rPr>
        <w:t>codice penale</w:t>
      </w:r>
      <w:proofErr w:type="gramEnd"/>
      <w:r w:rsidRPr="009B3BCB">
        <w:rPr>
          <w:bCs/>
          <w:sz w:val="24"/>
        </w:rPr>
        <w:t>.»;</w:t>
      </w:r>
    </w:p>
    <w:p w14:paraId="22188348" w14:textId="77777777" w:rsidR="00E779C0" w:rsidRPr="009B3BCB" w:rsidRDefault="00E779C0" w:rsidP="00E779C0">
      <w:pPr>
        <w:pStyle w:val="Paragrafoelenco"/>
        <w:numPr>
          <w:ilvl w:val="0"/>
          <w:numId w:val="7"/>
        </w:numPr>
        <w:spacing w:after="160" w:line="276" w:lineRule="auto"/>
        <w:ind w:left="993"/>
        <w:rPr>
          <w:bCs/>
          <w:sz w:val="24"/>
        </w:rPr>
      </w:pPr>
      <w:r w:rsidRPr="009B3BCB">
        <w:rPr>
          <w:bCs/>
          <w:sz w:val="24"/>
        </w:rPr>
        <w:t>al comma 2, le parole: «Agli stessi fini» sono sostituite dalle seguenti: «Ai fini di cui ai commi 1 e 1-</w:t>
      </w:r>
      <w:r w:rsidRPr="003774B0">
        <w:rPr>
          <w:bCs/>
          <w:i/>
          <w:iCs/>
          <w:sz w:val="24"/>
        </w:rPr>
        <w:t>bis</w:t>
      </w:r>
      <w:r w:rsidRPr="009B3BCB">
        <w:rPr>
          <w:bCs/>
          <w:sz w:val="24"/>
        </w:rPr>
        <w:t xml:space="preserve">»; </w:t>
      </w:r>
    </w:p>
    <w:p w14:paraId="21711589" w14:textId="77777777" w:rsidR="00E779C0" w:rsidRPr="009B3BCB" w:rsidRDefault="00E779C0" w:rsidP="00E779C0">
      <w:pPr>
        <w:pStyle w:val="Paragrafoelenco"/>
        <w:numPr>
          <w:ilvl w:val="0"/>
          <w:numId w:val="6"/>
        </w:numPr>
        <w:spacing w:after="160" w:line="276" w:lineRule="auto"/>
        <w:ind w:left="567" w:hanging="141"/>
        <w:jc w:val="both"/>
        <w:rPr>
          <w:bCs/>
          <w:sz w:val="24"/>
        </w:rPr>
      </w:pPr>
      <w:r w:rsidRPr="009B3BCB">
        <w:rPr>
          <w:bCs/>
          <w:sz w:val="24"/>
        </w:rPr>
        <w:t>all’articolo 16, dopo il comma 1, è inserito il seguente: «1-</w:t>
      </w:r>
      <w:r w:rsidRPr="003774B0">
        <w:rPr>
          <w:bCs/>
          <w:i/>
          <w:iCs/>
          <w:sz w:val="24"/>
        </w:rPr>
        <w:t>bis</w:t>
      </w:r>
      <w:r w:rsidRPr="009B3BCB">
        <w:rPr>
          <w:bCs/>
          <w:sz w:val="24"/>
        </w:rPr>
        <w:t xml:space="preserve"> Si applicano le disposizioni di cui all’articolo 382-</w:t>
      </w:r>
      <w:r w:rsidRPr="003774B0">
        <w:rPr>
          <w:bCs/>
          <w:i/>
          <w:iCs/>
          <w:sz w:val="24"/>
        </w:rPr>
        <w:t>bis</w:t>
      </w:r>
      <w:r w:rsidRPr="009B3BCB">
        <w:rPr>
          <w:bCs/>
          <w:sz w:val="24"/>
        </w:rPr>
        <w:t xml:space="preserve"> del codice di procedura penale»;</w:t>
      </w:r>
    </w:p>
    <w:p w14:paraId="0A53DAFA" w14:textId="77777777" w:rsidR="00E779C0" w:rsidRDefault="00E779C0" w:rsidP="00E779C0">
      <w:pPr>
        <w:pStyle w:val="Paragrafoelenco"/>
        <w:numPr>
          <w:ilvl w:val="0"/>
          <w:numId w:val="6"/>
        </w:numPr>
        <w:spacing w:after="160" w:line="276" w:lineRule="auto"/>
        <w:ind w:left="567" w:hanging="141"/>
        <w:jc w:val="both"/>
        <w:rPr>
          <w:bCs/>
          <w:sz w:val="24"/>
        </w:rPr>
      </w:pPr>
      <w:r w:rsidRPr="009B3BCB">
        <w:rPr>
          <w:bCs/>
          <w:sz w:val="24"/>
        </w:rPr>
        <w:t>all’articolo 19, comma 2, è aggiunto, in fine, il seguente periodo: «, salvo che l’imputato abbia compiuto sedici anni»</w:t>
      </w:r>
      <w:r>
        <w:rPr>
          <w:bCs/>
          <w:sz w:val="24"/>
        </w:rPr>
        <w:t>;</w:t>
      </w:r>
    </w:p>
    <w:p w14:paraId="4E0450C2" w14:textId="3DEF733B" w:rsidR="00E779C0" w:rsidRPr="009B3BCB" w:rsidRDefault="00E779C0" w:rsidP="00E779C0">
      <w:pPr>
        <w:pStyle w:val="Paragrafoelenco"/>
        <w:numPr>
          <w:ilvl w:val="0"/>
          <w:numId w:val="6"/>
        </w:numPr>
        <w:spacing w:after="160" w:line="276" w:lineRule="auto"/>
        <w:ind w:left="567" w:hanging="141"/>
        <w:jc w:val="both"/>
        <w:rPr>
          <w:bCs/>
          <w:sz w:val="24"/>
        </w:rPr>
      </w:pPr>
      <w:r>
        <w:rPr>
          <w:bCs/>
          <w:sz w:val="24"/>
        </w:rPr>
        <w:t>all’articolo 23, al comma 1, dopo la parola «337» sono aggiunte le seguenti: «</w:t>
      </w:r>
      <w:r w:rsidRPr="009B3BCB">
        <w:rPr>
          <w:bCs/>
          <w:sz w:val="24"/>
        </w:rPr>
        <w:t>420-</w:t>
      </w:r>
      <w:r w:rsidRPr="003774B0">
        <w:rPr>
          <w:bCs/>
          <w:i/>
          <w:iCs/>
          <w:sz w:val="24"/>
        </w:rPr>
        <w:t>bis</w:t>
      </w:r>
      <w:r w:rsidR="002D69B0">
        <w:rPr>
          <w:bCs/>
          <w:i/>
          <w:iCs/>
          <w:sz w:val="24"/>
        </w:rPr>
        <w:t xml:space="preserve"> e 635.1</w:t>
      </w:r>
      <w:r>
        <w:rPr>
          <w:bCs/>
          <w:sz w:val="24"/>
        </w:rPr>
        <w:t xml:space="preserve">». </w:t>
      </w:r>
      <w:r w:rsidRPr="009B3BCB">
        <w:rPr>
          <w:bCs/>
          <w:sz w:val="24"/>
        </w:rPr>
        <w:t xml:space="preserve"> </w:t>
      </w:r>
    </w:p>
    <w:p w14:paraId="2EDE9D9F" w14:textId="77777777" w:rsidR="00050C3A" w:rsidRPr="00E52B26" w:rsidRDefault="00050C3A" w:rsidP="00E52B26">
      <w:pPr>
        <w:spacing w:line="276" w:lineRule="auto"/>
        <w:jc w:val="both"/>
        <w:rPr>
          <w:sz w:val="24"/>
        </w:rPr>
      </w:pPr>
    </w:p>
    <w:p w14:paraId="428EF92F" w14:textId="77777777" w:rsidR="002054DE" w:rsidRDefault="002054DE" w:rsidP="00E52B26">
      <w:pPr>
        <w:spacing w:line="276" w:lineRule="auto"/>
        <w:jc w:val="center"/>
        <w:rPr>
          <w:b/>
          <w:bCs/>
          <w:sz w:val="24"/>
        </w:rPr>
      </w:pPr>
    </w:p>
    <w:p w14:paraId="7C5557CE" w14:textId="77777777" w:rsidR="002054DE" w:rsidRDefault="002054DE" w:rsidP="00E52B26">
      <w:pPr>
        <w:spacing w:line="276" w:lineRule="auto"/>
        <w:jc w:val="center"/>
        <w:rPr>
          <w:b/>
          <w:bCs/>
          <w:sz w:val="24"/>
        </w:rPr>
      </w:pPr>
    </w:p>
    <w:p w14:paraId="2D519DB0" w14:textId="01FA59D8" w:rsidR="00050C3A" w:rsidRPr="008F4C1C" w:rsidRDefault="00050C3A" w:rsidP="00E52B26">
      <w:pPr>
        <w:spacing w:line="276" w:lineRule="auto"/>
        <w:jc w:val="center"/>
        <w:rPr>
          <w:b/>
          <w:bCs/>
          <w:sz w:val="24"/>
        </w:rPr>
      </w:pPr>
      <w:r w:rsidRPr="008F4C1C">
        <w:rPr>
          <w:b/>
          <w:bCs/>
          <w:sz w:val="24"/>
        </w:rPr>
        <w:t xml:space="preserve">Art. </w:t>
      </w:r>
      <w:r w:rsidR="008906A5">
        <w:rPr>
          <w:b/>
          <w:bCs/>
          <w:sz w:val="24"/>
        </w:rPr>
        <w:t>4</w:t>
      </w:r>
    </w:p>
    <w:p w14:paraId="2F1B3E9F" w14:textId="77777777" w:rsidR="00050C3A" w:rsidRPr="00E52B26" w:rsidRDefault="00050C3A" w:rsidP="00E52B26">
      <w:pPr>
        <w:spacing w:line="276" w:lineRule="auto"/>
        <w:jc w:val="center"/>
        <w:rPr>
          <w:sz w:val="24"/>
        </w:rPr>
      </w:pPr>
      <w:r w:rsidRPr="00E52B26">
        <w:rPr>
          <w:sz w:val="24"/>
        </w:rPr>
        <w:t>(Modifiche al regio decreto 30 gennaio 1941, n. 12)</w:t>
      </w:r>
    </w:p>
    <w:p w14:paraId="208147DF" w14:textId="77777777" w:rsidR="005E69B5" w:rsidRPr="009B3BCB" w:rsidRDefault="005E69B5" w:rsidP="005E69B5">
      <w:pPr>
        <w:spacing w:line="276" w:lineRule="auto"/>
        <w:jc w:val="both"/>
        <w:rPr>
          <w:bCs/>
          <w:sz w:val="24"/>
        </w:rPr>
      </w:pPr>
    </w:p>
    <w:p w14:paraId="1AAEF7CD" w14:textId="77777777" w:rsidR="005E69B5" w:rsidRPr="009B3BCB" w:rsidRDefault="005E69B5" w:rsidP="005E69B5">
      <w:pPr>
        <w:pStyle w:val="Paragrafoelenco"/>
        <w:numPr>
          <w:ilvl w:val="0"/>
          <w:numId w:val="8"/>
        </w:numPr>
        <w:spacing w:after="160" w:line="276" w:lineRule="auto"/>
        <w:jc w:val="both"/>
        <w:rPr>
          <w:bCs/>
          <w:sz w:val="24"/>
        </w:rPr>
      </w:pPr>
      <w:r w:rsidRPr="009B3BCB">
        <w:rPr>
          <w:bCs/>
          <w:sz w:val="24"/>
        </w:rPr>
        <w:t xml:space="preserve">All’articolo 110 del regio decreto 30 gennaio 1941, n. 12, dopo il comma 2, sono aggiunti i seguenti: </w:t>
      </w:r>
    </w:p>
    <w:p w14:paraId="45653961" w14:textId="77777777" w:rsidR="005E69B5" w:rsidRPr="009B3BCB" w:rsidRDefault="005E69B5" w:rsidP="005E69B5">
      <w:pPr>
        <w:pStyle w:val="Paragrafoelenco"/>
        <w:spacing w:line="276" w:lineRule="auto"/>
        <w:jc w:val="both"/>
        <w:rPr>
          <w:bCs/>
          <w:sz w:val="24"/>
        </w:rPr>
      </w:pPr>
      <w:r w:rsidRPr="009B3BCB">
        <w:rPr>
          <w:bCs/>
          <w:sz w:val="24"/>
        </w:rPr>
        <w:t>«2-</w:t>
      </w:r>
      <w:r w:rsidRPr="003774B0">
        <w:rPr>
          <w:bCs/>
          <w:i/>
          <w:iCs/>
          <w:sz w:val="24"/>
        </w:rPr>
        <w:t>bis</w:t>
      </w:r>
      <w:r w:rsidRPr="009B3BCB">
        <w:rPr>
          <w:bCs/>
          <w:sz w:val="24"/>
        </w:rPr>
        <w:t xml:space="preserve"> Nel caso di eventi incidenti sull’ordine pubblico che possono comportare o hanno comportato un numero rilevante di arresti in flagranza, al fine di consentire che le procedure di convalida vengano definite nei tempi previsti dalla legge, l’applicazione di cui al comma 1 è disposta nel termine di ventiquattro ore dalla richiesta del dirigente dell’ufficio giudiziario competente e senza attendere il parere del consiglio giudiziario. La richiesta di applicazione e il provvedimento sono trasmessi al consiglio giudiziario per le valutazioni di competenza.</w:t>
      </w:r>
      <w:r>
        <w:rPr>
          <w:bCs/>
          <w:sz w:val="24"/>
        </w:rPr>
        <w:t>»</w:t>
      </w:r>
      <w:r w:rsidRPr="009B3BCB">
        <w:rPr>
          <w:bCs/>
          <w:sz w:val="24"/>
        </w:rPr>
        <w:t xml:space="preserve"> </w:t>
      </w:r>
    </w:p>
    <w:p w14:paraId="23543A65" w14:textId="77777777" w:rsidR="00C23A16" w:rsidRDefault="00C23A16" w:rsidP="00590109">
      <w:pPr>
        <w:pStyle w:val="Paragrafoelenco"/>
        <w:spacing w:line="276" w:lineRule="auto"/>
        <w:ind w:left="142"/>
        <w:jc w:val="both"/>
        <w:rPr>
          <w:sz w:val="24"/>
        </w:rPr>
      </w:pPr>
    </w:p>
    <w:p w14:paraId="5EF518C8" w14:textId="77777777" w:rsidR="00050C3A" w:rsidRPr="00E52B26" w:rsidRDefault="00050C3A" w:rsidP="00E52B26">
      <w:pPr>
        <w:spacing w:line="276" w:lineRule="auto"/>
        <w:jc w:val="both"/>
        <w:rPr>
          <w:sz w:val="24"/>
        </w:rPr>
      </w:pPr>
    </w:p>
    <w:p w14:paraId="6394D902" w14:textId="77EDE990" w:rsidR="00DA17DB" w:rsidRPr="00F52AF9" w:rsidRDefault="00DA17DB" w:rsidP="00DA17DB">
      <w:pPr>
        <w:spacing w:line="276" w:lineRule="auto"/>
        <w:jc w:val="center"/>
        <w:rPr>
          <w:rFonts w:ascii="Times" w:hAnsi="Times"/>
          <w:b/>
          <w:bCs/>
          <w:sz w:val="24"/>
        </w:rPr>
      </w:pPr>
      <w:r w:rsidRPr="00F52AF9">
        <w:rPr>
          <w:rFonts w:ascii="Times" w:hAnsi="Times"/>
          <w:b/>
          <w:bCs/>
          <w:sz w:val="24"/>
        </w:rPr>
        <w:t xml:space="preserve">ART. </w:t>
      </w:r>
      <w:r w:rsidR="00066B5A">
        <w:rPr>
          <w:rFonts w:ascii="Times" w:hAnsi="Times"/>
          <w:b/>
          <w:bCs/>
          <w:sz w:val="24"/>
        </w:rPr>
        <w:t>5</w:t>
      </w:r>
    </w:p>
    <w:p w14:paraId="605605FB" w14:textId="77777777" w:rsidR="00DA17DB" w:rsidRPr="00F52AF9" w:rsidRDefault="00DA17DB" w:rsidP="00DA17DB">
      <w:pPr>
        <w:spacing w:line="276" w:lineRule="auto"/>
        <w:jc w:val="center"/>
        <w:rPr>
          <w:rFonts w:ascii="Times" w:hAnsi="Times"/>
          <w:i/>
          <w:iCs/>
          <w:sz w:val="24"/>
        </w:rPr>
      </w:pPr>
      <w:r w:rsidRPr="00F52AF9">
        <w:rPr>
          <w:rFonts w:ascii="Times" w:hAnsi="Times"/>
          <w:i/>
          <w:iCs/>
          <w:sz w:val="24"/>
        </w:rPr>
        <w:t>(</w:t>
      </w:r>
      <w:r>
        <w:rPr>
          <w:rFonts w:ascii="Times" w:hAnsi="Times"/>
          <w:i/>
          <w:iCs/>
          <w:sz w:val="24"/>
        </w:rPr>
        <w:t>Sanzione amministrativa e i</w:t>
      </w:r>
      <w:r w:rsidRPr="00F52AF9">
        <w:rPr>
          <w:rFonts w:ascii="Times" w:hAnsi="Times"/>
          <w:i/>
          <w:iCs/>
          <w:sz w:val="24"/>
        </w:rPr>
        <w:t>ngiunzione di pagamento per danni</w:t>
      </w:r>
      <w:r>
        <w:rPr>
          <w:rFonts w:ascii="Times" w:hAnsi="Times"/>
          <w:i/>
          <w:iCs/>
          <w:sz w:val="24"/>
        </w:rPr>
        <w:t xml:space="preserve"> da condotte illecite</w:t>
      </w:r>
      <w:r w:rsidRPr="00F52AF9">
        <w:rPr>
          <w:rFonts w:ascii="Times" w:hAnsi="Times"/>
          <w:i/>
          <w:iCs/>
          <w:sz w:val="24"/>
        </w:rPr>
        <w:t>)</w:t>
      </w:r>
    </w:p>
    <w:p w14:paraId="5F30495F" w14:textId="77777777" w:rsidR="00DA17DB" w:rsidRPr="00F52AF9" w:rsidRDefault="00DA17DB" w:rsidP="00DA17DB">
      <w:pPr>
        <w:jc w:val="both"/>
        <w:rPr>
          <w:rFonts w:ascii="Times" w:hAnsi="Times"/>
          <w:sz w:val="24"/>
        </w:rPr>
      </w:pPr>
    </w:p>
    <w:p w14:paraId="5A7B9D86" w14:textId="77777777" w:rsidR="00DA17DB" w:rsidRPr="00F52AF9" w:rsidRDefault="00DA17DB" w:rsidP="00FC25C4">
      <w:pPr>
        <w:spacing w:line="276" w:lineRule="auto"/>
        <w:jc w:val="both"/>
        <w:rPr>
          <w:rFonts w:ascii="Times" w:hAnsi="Times"/>
          <w:sz w:val="24"/>
        </w:rPr>
      </w:pPr>
      <w:r w:rsidRPr="00F52AF9">
        <w:rPr>
          <w:rFonts w:ascii="Times" w:hAnsi="Times"/>
          <w:sz w:val="24"/>
        </w:rPr>
        <w:t>1. Quando il minore, anche non imputabile, partecipa alla commissione di fatti costituenti uno o più reati di cui all'articolo</w:t>
      </w:r>
      <w:r w:rsidRPr="00F52AF9">
        <w:rPr>
          <w:rFonts w:ascii="Times" w:eastAsia="Aptos" w:hAnsi="Times" w:cs="Aptos"/>
          <w:sz w:val="24"/>
        </w:rPr>
        <w:t xml:space="preserve"> 10, comma 6-</w:t>
      </w:r>
      <w:r w:rsidRPr="00581DD0">
        <w:rPr>
          <w:rFonts w:ascii="Times" w:eastAsia="Aptos" w:hAnsi="Times" w:cs="Aptos"/>
          <w:i/>
          <w:iCs/>
          <w:sz w:val="24"/>
        </w:rPr>
        <w:t>quater</w:t>
      </w:r>
      <w:r w:rsidRPr="00F52AF9">
        <w:rPr>
          <w:rFonts w:ascii="Times" w:eastAsia="Aptos" w:hAnsi="Times" w:cs="Aptos"/>
          <w:sz w:val="24"/>
        </w:rPr>
        <w:t>, del decreto-legge 20 febbraio 2017, n.</w:t>
      </w:r>
      <w:r>
        <w:rPr>
          <w:rFonts w:ascii="Times" w:eastAsia="Aptos" w:hAnsi="Times" w:cs="Aptos"/>
          <w:sz w:val="24"/>
        </w:rPr>
        <w:t xml:space="preserve"> </w:t>
      </w:r>
      <w:r w:rsidRPr="00F52AF9">
        <w:rPr>
          <w:rFonts w:ascii="Times" w:eastAsia="Aptos" w:hAnsi="Times" w:cs="Aptos"/>
          <w:sz w:val="24"/>
        </w:rPr>
        <w:t>14, convertito, con modificazioni, dalla legge 18 aprile 2017, n.</w:t>
      </w:r>
      <w:r>
        <w:rPr>
          <w:rFonts w:ascii="Times" w:eastAsia="Aptos" w:hAnsi="Times" w:cs="Aptos"/>
          <w:sz w:val="24"/>
        </w:rPr>
        <w:t xml:space="preserve"> </w:t>
      </w:r>
      <w:r w:rsidRPr="00F52AF9">
        <w:rPr>
          <w:rFonts w:ascii="Times" w:eastAsia="Aptos" w:hAnsi="Times" w:cs="Aptos"/>
          <w:sz w:val="24"/>
        </w:rPr>
        <w:t xml:space="preserve">48,  </w:t>
      </w:r>
      <w:r w:rsidRPr="00F52AF9">
        <w:rPr>
          <w:rFonts w:ascii="Times" w:hAnsi="Times"/>
          <w:sz w:val="24"/>
        </w:rPr>
        <w:t>oppure di cui agli articoli 419, 420, 420-</w:t>
      </w:r>
      <w:r w:rsidRPr="00F52AF9">
        <w:rPr>
          <w:rFonts w:ascii="Times" w:hAnsi="Times"/>
          <w:i/>
          <w:iCs/>
          <w:sz w:val="24"/>
        </w:rPr>
        <w:t>bis</w:t>
      </w:r>
      <w:r w:rsidRPr="00F52AF9">
        <w:rPr>
          <w:rFonts w:ascii="Times" w:hAnsi="Times"/>
          <w:sz w:val="24"/>
        </w:rPr>
        <w:t>, 635.1 del codice penale, all’esercente la potestà genitoriale si applica la sanzione amministrativa del pagamento di una somma da 500 a 1.000 euro, salvo che provi di non aver potuto impedire il fatto.</w:t>
      </w:r>
    </w:p>
    <w:p w14:paraId="5356F99E" w14:textId="77777777" w:rsidR="00DA17DB" w:rsidRPr="00F52AF9" w:rsidRDefault="00DA17DB" w:rsidP="00FC25C4">
      <w:pPr>
        <w:spacing w:line="276" w:lineRule="auto"/>
        <w:jc w:val="both"/>
        <w:rPr>
          <w:rFonts w:ascii="Times" w:hAnsi="Times"/>
          <w:sz w:val="24"/>
        </w:rPr>
      </w:pPr>
      <w:r w:rsidRPr="00F52AF9">
        <w:rPr>
          <w:rFonts w:ascii="Times" w:hAnsi="Times"/>
          <w:sz w:val="24"/>
        </w:rPr>
        <w:t>2. Quando il minore reitera la condotta prevista dal comma 1, all’esercente la potestà genitoriale si applica la sanzione amministrativa del pagamento di una somma da 1.000 a 2.000 euro, salvo che provi di non aver potuto impedire il fatto.</w:t>
      </w:r>
    </w:p>
    <w:p w14:paraId="4AB2F75E" w14:textId="77777777" w:rsidR="00DA17DB" w:rsidRPr="00F52AF9" w:rsidRDefault="00DA17DB" w:rsidP="00FC25C4">
      <w:pPr>
        <w:spacing w:line="276" w:lineRule="auto"/>
        <w:jc w:val="both"/>
        <w:rPr>
          <w:rFonts w:ascii="Times" w:hAnsi="Times"/>
          <w:sz w:val="24"/>
        </w:rPr>
      </w:pPr>
      <w:r w:rsidRPr="00F52AF9">
        <w:rPr>
          <w:rFonts w:ascii="Times" w:hAnsi="Times"/>
          <w:sz w:val="24"/>
        </w:rPr>
        <w:t>3.</w:t>
      </w:r>
      <w:r>
        <w:rPr>
          <w:rFonts w:ascii="Times" w:hAnsi="Times"/>
          <w:sz w:val="24"/>
        </w:rPr>
        <w:t xml:space="preserve"> </w:t>
      </w:r>
      <w:r w:rsidRPr="00F52AF9">
        <w:rPr>
          <w:rFonts w:ascii="Times" w:hAnsi="Times"/>
          <w:sz w:val="24"/>
        </w:rPr>
        <w:t>Il prefetto, quando irroga la sanzione amministrativa di cui al comma 2, può contestualmente segnalare al tribunale per i minori del luogo di residenza dell’esercente la potestà genitoriale, l'opportunità di attivare progetti personalizzati di sostegno alla funzione educativa.</w:t>
      </w:r>
    </w:p>
    <w:p w14:paraId="4EC8AA3D" w14:textId="77777777" w:rsidR="00DA17DB" w:rsidRPr="00F52AF9" w:rsidRDefault="00DA17DB" w:rsidP="00FC25C4">
      <w:pPr>
        <w:spacing w:line="276" w:lineRule="auto"/>
        <w:jc w:val="both"/>
        <w:rPr>
          <w:rFonts w:ascii="Times" w:hAnsi="Times"/>
          <w:sz w:val="24"/>
        </w:rPr>
      </w:pPr>
      <w:r w:rsidRPr="00F52AF9">
        <w:rPr>
          <w:rFonts w:ascii="Times" w:hAnsi="Times"/>
          <w:sz w:val="24"/>
        </w:rPr>
        <w:t>4. Si osservano, per quanto non previsto dai commi 1, 2 e 3, le disposizioni di cui alla legge 24 novembre 1981, n.</w:t>
      </w:r>
      <w:r>
        <w:rPr>
          <w:rFonts w:ascii="Times" w:hAnsi="Times"/>
          <w:sz w:val="24"/>
        </w:rPr>
        <w:t xml:space="preserve"> </w:t>
      </w:r>
      <w:r w:rsidRPr="00F52AF9">
        <w:rPr>
          <w:rFonts w:ascii="Times" w:hAnsi="Times"/>
          <w:sz w:val="24"/>
        </w:rPr>
        <w:t xml:space="preserve">689. </w:t>
      </w:r>
    </w:p>
    <w:p w14:paraId="0337BEE1" w14:textId="77777777" w:rsidR="00DA17DB" w:rsidRPr="00F52AF9" w:rsidRDefault="00DA17DB" w:rsidP="00FC25C4">
      <w:pPr>
        <w:spacing w:line="276" w:lineRule="auto"/>
        <w:jc w:val="both"/>
        <w:rPr>
          <w:rFonts w:ascii="Times" w:hAnsi="Times"/>
          <w:sz w:val="24"/>
        </w:rPr>
      </w:pPr>
      <w:r w:rsidRPr="00F52AF9">
        <w:rPr>
          <w:rFonts w:ascii="Times" w:eastAsia="Aptos" w:hAnsi="Times" w:cs="Aptos"/>
          <w:sz w:val="24"/>
        </w:rPr>
        <w:t>5. Il prefetto, quando emette l'ordinanza di ingiunzione di cui ai commi 1 o 2, può ordinare, all'esercente la potestà genitoria</w:t>
      </w:r>
      <w:r w:rsidRPr="00F52AF9">
        <w:rPr>
          <w:rFonts w:ascii="Times" w:eastAsiaTheme="minorEastAsia" w:hAnsi="Times"/>
          <w:sz w:val="24"/>
        </w:rPr>
        <w:t>l</w:t>
      </w:r>
      <w:r w:rsidRPr="00F52AF9">
        <w:rPr>
          <w:rFonts w:ascii="Times" w:eastAsia="Aptos" w:hAnsi="Times" w:cs="Aptos"/>
          <w:sz w:val="24"/>
        </w:rPr>
        <w:t xml:space="preserve">e del minore, il pagamento di una somma a titolo di risarcimento dei danni cagionati, in conseguenza dei fatti di cui al comma 1, a beni appartenenti allo Stato, alle Regioni o a enti locali in favore </w:t>
      </w:r>
      <w:r>
        <w:rPr>
          <w:rFonts w:ascii="Times" w:eastAsia="Aptos" w:hAnsi="Times" w:cs="Aptos"/>
          <w:sz w:val="24"/>
        </w:rPr>
        <w:t xml:space="preserve">dei medesimi </w:t>
      </w:r>
      <w:r w:rsidRPr="00F52AF9">
        <w:rPr>
          <w:rFonts w:ascii="Times" w:eastAsia="Aptos" w:hAnsi="Times" w:cs="Aptos"/>
          <w:sz w:val="24"/>
        </w:rPr>
        <w:t>enti. La liquidazione del danno è effettuata dal prefetto sulla base degli atti.</w:t>
      </w:r>
    </w:p>
    <w:p w14:paraId="0CA2739D" w14:textId="77777777" w:rsidR="00DA17DB" w:rsidRDefault="00DA17DB" w:rsidP="00FC25C4">
      <w:pPr>
        <w:spacing w:line="276" w:lineRule="auto"/>
        <w:jc w:val="both"/>
        <w:rPr>
          <w:rFonts w:ascii="Times" w:eastAsia="Aptos" w:hAnsi="Times" w:cs="Aptos"/>
          <w:sz w:val="24"/>
        </w:rPr>
      </w:pPr>
      <w:r w:rsidRPr="00F52AF9">
        <w:rPr>
          <w:rFonts w:ascii="Times" w:eastAsia="Aptos" w:hAnsi="Times" w:cs="Aptos"/>
          <w:sz w:val="24"/>
        </w:rPr>
        <w:t>6. Avverso l'ingiunzione prevista dal comma 5 può essere proposta, entro quaranta giorni dalla notifica, opposizione davanti al tribunale del luogo di residenza dell'esercente la potestà genitoriale nei confronti dell'ente pubblico in cui favore è stato disposto il pagamento.  All'opposizione si applica l'articolo 32, commi 1 e 3, del decreto legislativo 1° settembre 2011, n.150.</w:t>
      </w:r>
    </w:p>
    <w:p w14:paraId="4F3A1884" w14:textId="3D025623" w:rsidR="00DA17DB" w:rsidRPr="00187476" w:rsidRDefault="00DA17DB" w:rsidP="00FC25C4">
      <w:pPr>
        <w:spacing w:line="276" w:lineRule="auto"/>
        <w:jc w:val="both"/>
        <w:rPr>
          <w:sz w:val="24"/>
        </w:rPr>
      </w:pPr>
      <w:r w:rsidRPr="00187476">
        <w:rPr>
          <w:sz w:val="24"/>
        </w:rPr>
        <w:t>7.</w:t>
      </w:r>
      <w:r>
        <w:rPr>
          <w:sz w:val="24"/>
        </w:rPr>
        <w:t xml:space="preserve"> </w:t>
      </w:r>
      <w:r w:rsidRPr="00187476">
        <w:rPr>
          <w:sz w:val="24"/>
        </w:rPr>
        <w:t xml:space="preserve">Il soggetto privato che ha subito danni in conseguenza delle condotte di cui al comma 1, può presentare ricorso per decreto ingiuntivo, ai sensi degli articoli 633 e seguenti del </w:t>
      </w:r>
      <w:proofErr w:type="gramStart"/>
      <w:r w:rsidRPr="00187476">
        <w:rPr>
          <w:sz w:val="24"/>
        </w:rPr>
        <w:t>codice di procedura civile</w:t>
      </w:r>
      <w:proofErr w:type="gramEnd"/>
      <w:r w:rsidRPr="00187476">
        <w:rPr>
          <w:sz w:val="24"/>
        </w:rPr>
        <w:t xml:space="preserve">, sulla base dell'ordinanza di ingiunzione di cui </w:t>
      </w:r>
      <w:proofErr w:type="gramStart"/>
      <w:r w:rsidRPr="00187476">
        <w:rPr>
          <w:sz w:val="24"/>
        </w:rPr>
        <w:t>a</w:t>
      </w:r>
      <w:r w:rsidR="007A6864">
        <w:rPr>
          <w:sz w:val="24"/>
        </w:rPr>
        <w:t>i</w:t>
      </w:r>
      <w:r w:rsidRPr="00187476">
        <w:rPr>
          <w:sz w:val="24"/>
        </w:rPr>
        <w:t xml:space="preserve"> comma</w:t>
      </w:r>
      <w:proofErr w:type="gramEnd"/>
      <w:r w:rsidRPr="00187476">
        <w:rPr>
          <w:sz w:val="24"/>
        </w:rPr>
        <w:t xml:space="preserve"> </w:t>
      </w:r>
      <w:r w:rsidR="007A6864">
        <w:rPr>
          <w:sz w:val="24"/>
        </w:rPr>
        <w:t>1 e 2</w:t>
      </w:r>
      <w:r w:rsidRPr="00187476">
        <w:rPr>
          <w:sz w:val="24"/>
        </w:rPr>
        <w:t xml:space="preserve"> e degli atti sui quali la stessa si fonda, nonché tramite allegazione di consulenza tecnica di parte in relazione alla stima dei danni medesimi.</w:t>
      </w:r>
      <w:r>
        <w:rPr>
          <w:sz w:val="24"/>
        </w:rPr>
        <w:t xml:space="preserve"> L’ordinanza, gli atti e i documenti indicati al primo periodo sono considerati prove scritte </w:t>
      </w:r>
      <w:r>
        <w:rPr>
          <w:sz w:val="24"/>
        </w:rPr>
        <w:lastRenderedPageBreak/>
        <w:t xml:space="preserve">ai sensi dell’articolo 634 </w:t>
      </w:r>
      <w:r w:rsidRPr="00187476">
        <w:rPr>
          <w:sz w:val="24"/>
        </w:rPr>
        <w:t xml:space="preserve">del </w:t>
      </w:r>
      <w:proofErr w:type="gramStart"/>
      <w:r w:rsidRPr="00187476">
        <w:rPr>
          <w:sz w:val="24"/>
        </w:rPr>
        <w:t>codice di procedura civile</w:t>
      </w:r>
      <w:proofErr w:type="gramEnd"/>
      <w:r>
        <w:rPr>
          <w:sz w:val="24"/>
        </w:rPr>
        <w:t xml:space="preserve">. Il decreto ingiuntivo è provvisoriamente esecutivo ai sensi dell’articolo 642 del medesimo codice.  </w:t>
      </w:r>
    </w:p>
    <w:p w14:paraId="45FBAFF5" w14:textId="77777777" w:rsidR="00FC25C4" w:rsidRDefault="00FC25C4" w:rsidP="008906A5">
      <w:pPr>
        <w:spacing w:line="276" w:lineRule="auto"/>
        <w:ind w:left="709" w:right="543"/>
        <w:jc w:val="center"/>
        <w:rPr>
          <w:b/>
          <w:sz w:val="24"/>
        </w:rPr>
      </w:pPr>
    </w:p>
    <w:p w14:paraId="3FDAEA5B" w14:textId="58476507" w:rsidR="008906A5" w:rsidRPr="00E52B26" w:rsidRDefault="008906A5" w:rsidP="008906A5">
      <w:pPr>
        <w:spacing w:line="276" w:lineRule="auto"/>
        <w:ind w:left="709" w:right="543"/>
        <w:jc w:val="center"/>
        <w:rPr>
          <w:rFonts w:eastAsiaTheme="minorHAnsi"/>
          <w:b/>
          <w:sz w:val="24"/>
        </w:rPr>
      </w:pPr>
      <w:r w:rsidRPr="00E52B26">
        <w:rPr>
          <w:b/>
          <w:sz w:val="24"/>
        </w:rPr>
        <w:t xml:space="preserve">ART. </w:t>
      </w:r>
      <w:r>
        <w:rPr>
          <w:b/>
          <w:sz w:val="24"/>
        </w:rPr>
        <w:t>6</w:t>
      </w:r>
    </w:p>
    <w:p w14:paraId="4C5D7FDF" w14:textId="77777777" w:rsidR="008906A5" w:rsidRPr="00E52B26" w:rsidRDefault="008906A5" w:rsidP="008906A5">
      <w:pPr>
        <w:spacing w:after="120" w:line="276" w:lineRule="auto"/>
        <w:ind w:right="543"/>
        <w:jc w:val="center"/>
        <w:rPr>
          <w:i/>
          <w:sz w:val="24"/>
        </w:rPr>
      </w:pPr>
      <w:r w:rsidRPr="00E52B26">
        <w:rPr>
          <w:sz w:val="24"/>
        </w:rPr>
        <w:t>(</w:t>
      </w:r>
      <w:r w:rsidRPr="00E52B26">
        <w:rPr>
          <w:i/>
          <w:sz w:val="24"/>
        </w:rPr>
        <w:t>Modifiche al decreto legislativo 6 settembre 2011, n. 159</w:t>
      </w:r>
      <w:r w:rsidRPr="00E52B26">
        <w:rPr>
          <w:sz w:val="24"/>
        </w:rPr>
        <w:t>)</w:t>
      </w:r>
    </w:p>
    <w:p w14:paraId="39FF6D8C" w14:textId="77777777" w:rsidR="008906A5" w:rsidRPr="00E52B26" w:rsidRDefault="008906A5" w:rsidP="00FC25C4">
      <w:pPr>
        <w:suppressAutoHyphens/>
        <w:spacing w:line="276" w:lineRule="auto"/>
        <w:ind w:left="142"/>
        <w:jc w:val="both"/>
        <w:rPr>
          <w:rFonts w:eastAsia="Calibri"/>
          <w:sz w:val="24"/>
        </w:rPr>
      </w:pPr>
      <w:r w:rsidRPr="00E52B26">
        <w:rPr>
          <w:rFonts w:eastAsia="Calibri"/>
          <w:sz w:val="24"/>
        </w:rPr>
        <w:t>1. Al codice delle leggi antimafia e delle misure di prevenzione, di cui al decreto legislativo 6 settembre 2011, n. 159, sono apportate le seguenti modificazioni:</w:t>
      </w:r>
    </w:p>
    <w:p w14:paraId="171A5E0B" w14:textId="77777777" w:rsidR="008906A5" w:rsidRPr="00E52B26" w:rsidRDefault="008906A5" w:rsidP="00FC25C4">
      <w:pPr>
        <w:numPr>
          <w:ilvl w:val="0"/>
          <w:numId w:val="1"/>
        </w:numPr>
        <w:suppressAutoHyphens/>
        <w:spacing w:line="276" w:lineRule="auto"/>
        <w:ind w:left="142" w:firstLine="0"/>
        <w:jc w:val="both"/>
        <w:rPr>
          <w:rFonts w:eastAsia="Calibri"/>
          <w:sz w:val="24"/>
        </w:rPr>
      </w:pPr>
      <w:r w:rsidRPr="00E52B26">
        <w:rPr>
          <w:rFonts w:eastAsia="Calibri"/>
          <w:sz w:val="24"/>
        </w:rPr>
        <w:t xml:space="preserve"> all’articolo 3:</w:t>
      </w:r>
    </w:p>
    <w:p w14:paraId="699678BA" w14:textId="77777777" w:rsidR="008906A5" w:rsidRPr="002128EF" w:rsidRDefault="008906A5" w:rsidP="00FC25C4">
      <w:pPr>
        <w:numPr>
          <w:ilvl w:val="0"/>
          <w:numId w:val="2"/>
        </w:numPr>
        <w:suppressAutoHyphens/>
        <w:spacing w:line="276" w:lineRule="auto"/>
        <w:ind w:left="142" w:firstLine="0"/>
        <w:jc w:val="both"/>
        <w:rPr>
          <w:rFonts w:eastAsia="Calibri"/>
          <w:sz w:val="24"/>
        </w:rPr>
      </w:pPr>
      <w:r w:rsidRPr="002128EF">
        <w:rPr>
          <w:rFonts w:eastAsia="Calibri"/>
          <w:sz w:val="24"/>
        </w:rPr>
        <w:t>dopo il comma 5 è inserito il seguente:</w:t>
      </w:r>
    </w:p>
    <w:p w14:paraId="4CA26245" w14:textId="77777777" w:rsidR="008906A5" w:rsidRPr="002128EF" w:rsidRDefault="008906A5" w:rsidP="00FC25C4">
      <w:pPr>
        <w:spacing w:after="120" w:line="276" w:lineRule="auto"/>
        <w:ind w:left="142"/>
        <w:contextualSpacing/>
        <w:jc w:val="both"/>
        <w:rPr>
          <w:rFonts w:eastAsia="Calibri"/>
          <w:i/>
          <w:strike/>
          <w:sz w:val="24"/>
        </w:rPr>
      </w:pPr>
      <w:r w:rsidRPr="002128EF">
        <w:rPr>
          <w:rFonts w:eastAsia="Calibri"/>
          <w:i/>
          <w:sz w:val="24"/>
        </w:rPr>
        <w:t>«</w:t>
      </w:r>
      <w:r w:rsidRPr="002128EF">
        <w:rPr>
          <w:rFonts w:eastAsia="Calibri"/>
          <w:sz w:val="24"/>
        </w:rPr>
        <w:t>5-</w:t>
      </w:r>
      <w:r w:rsidRPr="002128EF">
        <w:rPr>
          <w:rFonts w:eastAsia="Calibri"/>
          <w:i/>
          <w:sz w:val="24"/>
        </w:rPr>
        <w:t xml:space="preserve">bis. </w:t>
      </w:r>
      <w:r w:rsidRPr="002128EF">
        <w:rPr>
          <w:rFonts w:eastAsia="Calibri"/>
          <w:sz w:val="24"/>
        </w:rPr>
        <w:t>Ferme restando le disposizioni di cui al decreto-legge 20 febbraio 2017, n. 14, convertito con modificazioni dalla legge 18 aprile 2017, n. 48, quando cinque o più persone, anche in forma di gruppo, in luogo pubblico o aperto al pubblico, tengono comportamenti intimidatori, di grave molestia o violenti contro persone o cose, il questore, per motivi di sicurezza, può disporre l’avviso orale con il divieto di radunarsi con una o più delle medesime persone, in luoghi pubblici o aperti al pubblico specificamente individuati in ragione delle esigenze di prevenzione, anche limitato a determinate fasce orarie, nei confronti di colui che sia stato già destinatario, nei cinque anni precedenti, dei provvedimenti di cui al presente articolo o di cui all’articolo 2 del presente codice ovvero di cui agli articoli 10, 13 e 13-</w:t>
      </w:r>
      <w:r w:rsidRPr="002128EF">
        <w:rPr>
          <w:rFonts w:eastAsia="Calibri"/>
          <w:i/>
          <w:sz w:val="24"/>
        </w:rPr>
        <w:t>bis</w:t>
      </w:r>
      <w:r w:rsidRPr="002128EF">
        <w:rPr>
          <w:rFonts w:eastAsia="Calibri"/>
          <w:sz w:val="24"/>
        </w:rPr>
        <w:t xml:space="preserve"> del predetto decreto-legge n. 14 del 2017 o che, nel medesimo lasso di tempo, sia stato condannato, anche con sentenza non definitiva, per alcuno dei delitti contro la persona o contro il patrimonio di cui al libro secondo, titoli XII e XIII, del codice penale, commessi in luogo pubblico o aperto al pubblico. Il divieto di radunarsi di cui al primo periodo può essere disposto per una durata non superiore a un anno, con l’individuazione di modalità applicative compatibili con le esigenze di salute, famiglia, lavoro o studio del destinatario del provvedimento. L'avviso orale con il divieto di radunarsi di cui al presente comma può essere rivolto anche ai soggetti minori di diciotto anni che hanno compiuto il quattordicesimo anno di età, secondo la procedura di cui al comma 3-bis»;</w:t>
      </w:r>
    </w:p>
    <w:p w14:paraId="0CA0BDB9" w14:textId="77777777" w:rsidR="008906A5" w:rsidRPr="002128EF" w:rsidRDefault="008906A5" w:rsidP="00FC25C4">
      <w:pPr>
        <w:numPr>
          <w:ilvl w:val="0"/>
          <w:numId w:val="2"/>
        </w:numPr>
        <w:spacing w:after="120" w:line="276" w:lineRule="auto"/>
        <w:ind w:left="142" w:firstLine="0"/>
        <w:contextualSpacing/>
        <w:jc w:val="both"/>
        <w:rPr>
          <w:rFonts w:eastAsia="Calibri"/>
          <w:sz w:val="24"/>
        </w:rPr>
      </w:pPr>
      <w:r w:rsidRPr="002128EF">
        <w:rPr>
          <w:rFonts w:eastAsia="Calibri"/>
          <w:sz w:val="24"/>
        </w:rPr>
        <w:t>al comma 6:</w:t>
      </w:r>
    </w:p>
    <w:p w14:paraId="0D9B0EB8" w14:textId="77777777" w:rsidR="008906A5" w:rsidRPr="002128EF" w:rsidRDefault="008906A5" w:rsidP="00FC25C4">
      <w:pPr>
        <w:pStyle w:val="Paragrafoelenco"/>
        <w:numPr>
          <w:ilvl w:val="1"/>
          <w:numId w:val="9"/>
        </w:numPr>
        <w:spacing w:after="120" w:line="276" w:lineRule="auto"/>
        <w:ind w:left="142" w:firstLine="0"/>
        <w:jc w:val="both"/>
        <w:rPr>
          <w:rFonts w:eastAsia="Calibri"/>
          <w:sz w:val="24"/>
        </w:rPr>
      </w:pPr>
      <w:r w:rsidRPr="002128EF">
        <w:rPr>
          <w:rFonts w:eastAsia="Calibri"/>
          <w:sz w:val="24"/>
        </w:rPr>
        <w:t>al primo periodo, le parole «il divieto di cui ai commi 4 e 5» sono sostituite dalle seguenti: «il divieto di cui ai commi 4, 5 e 5-</w:t>
      </w:r>
      <w:r w:rsidRPr="002128EF">
        <w:rPr>
          <w:rFonts w:eastAsia="Calibri"/>
          <w:i/>
          <w:sz w:val="24"/>
        </w:rPr>
        <w:t>bis</w:t>
      </w:r>
      <w:r w:rsidRPr="002128EF">
        <w:rPr>
          <w:rFonts w:eastAsia="Calibri"/>
          <w:sz w:val="24"/>
        </w:rPr>
        <w:t>»;</w:t>
      </w:r>
    </w:p>
    <w:p w14:paraId="10905847" w14:textId="77777777" w:rsidR="008906A5" w:rsidRPr="00E52B26" w:rsidRDefault="008906A5" w:rsidP="00FC25C4">
      <w:pPr>
        <w:pStyle w:val="Paragrafoelenco"/>
        <w:numPr>
          <w:ilvl w:val="1"/>
          <w:numId w:val="9"/>
        </w:numPr>
        <w:spacing w:after="120" w:line="276" w:lineRule="auto"/>
        <w:ind w:left="142" w:firstLine="0"/>
        <w:jc w:val="both"/>
        <w:rPr>
          <w:rFonts w:eastAsia="Calibri"/>
          <w:bCs/>
          <w:sz w:val="24"/>
        </w:rPr>
      </w:pPr>
      <w:r w:rsidRPr="002128EF">
        <w:rPr>
          <w:rFonts w:eastAsia="Calibri"/>
          <w:sz w:val="24"/>
        </w:rPr>
        <w:t>al secondo periodo, le parole</w:t>
      </w:r>
      <w:r w:rsidRPr="00E52B26">
        <w:rPr>
          <w:rFonts w:eastAsia="Calibri"/>
          <w:sz w:val="24"/>
        </w:rPr>
        <w:t xml:space="preserve"> «il divieto di cui al comma 4» sono sostituite dalle seguenti: «il divieto di cui ai commi 4 e 5-</w:t>
      </w:r>
      <w:r w:rsidRPr="00E52B26">
        <w:rPr>
          <w:rFonts w:eastAsia="Calibri"/>
          <w:i/>
          <w:sz w:val="24"/>
        </w:rPr>
        <w:t>bis</w:t>
      </w:r>
      <w:r w:rsidRPr="00E52B26">
        <w:rPr>
          <w:rFonts w:eastAsia="Calibri"/>
          <w:sz w:val="24"/>
        </w:rPr>
        <w:t>»;</w:t>
      </w:r>
    </w:p>
    <w:p w14:paraId="0C974E73" w14:textId="77777777" w:rsidR="008906A5" w:rsidRPr="00E52B26" w:rsidRDefault="008906A5" w:rsidP="00FC25C4">
      <w:pPr>
        <w:numPr>
          <w:ilvl w:val="0"/>
          <w:numId w:val="1"/>
        </w:numPr>
        <w:spacing w:after="120" w:line="276" w:lineRule="auto"/>
        <w:ind w:left="142" w:firstLine="0"/>
        <w:contextualSpacing/>
        <w:jc w:val="both"/>
        <w:rPr>
          <w:rFonts w:eastAsia="Calibri"/>
          <w:bCs/>
          <w:sz w:val="24"/>
        </w:rPr>
      </w:pPr>
      <w:r w:rsidRPr="00E52B26">
        <w:rPr>
          <w:rFonts w:eastAsia="Calibri"/>
          <w:bCs/>
          <w:sz w:val="24"/>
        </w:rPr>
        <w:t>all’articolo 76, comma 2, le parole «di cui all’articolo 3, commi 4, 5 e 6-</w:t>
      </w:r>
      <w:r w:rsidRPr="00E52B26">
        <w:rPr>
          <w:rFonts w:eastAsia="Calibri"/>
          <w:bCs/>
          <w:i/>
          <w:sz w:val="24"/>
        </w:rPr>
        <w:t>bis</w:t>
      </w:r>
      <w:r w:rsidRPr="00E52B26">
        <w:rPr>
          <w:rFonts w:eastAsia="Calibri"/>
          <w:bCs/>
          <w:sz w:val="24"/>
        </w:rPr>
        <w:t>» sono sostituite dalle seguenti: «di cui all'articolo 3, commi 4, 5, 5-</w:t>
      </w:r>
      <w:r w:rsidRPr="00E52B26">
        <w:rPr>
          <w:rFonts w:eastAsia="Calibri"/>
          <w:bCs/>
          <w:i/>
          <w:sz w:val="24"/>
        </w:rPr>
        <w:t>bis</w:t>
      </w:r>
      <w:r w:rsidRPr="00E52B26">
        <w:rPr>
          <w:rFonts w:eastAsia="Calibri"/>
          <w:bCs/>
          <w:sz w:val="24"/>
        </w:rPr>
        <w:t xml:space="preserve"> e 6-</w:t>
      </w:r>
      <w:r w:rsidRPr="00E52B26">
        <w:rPr>
          <w:rFonts w:eastAsia="Calibri"/>
          <w:bCs/>
          <w:i/>
          <w:sz w:val="24"/>
        </w:rPr>
        <w:t>bis</w:t>
      </w:r>
      <w:r w:rsidRPr="00E52B26">
        <w:rPr>
          <w:rFonts w:eastAsia="Calibri"/>
          <w:bCs/>
          <w:sz w:val="24"/>
        </w:rPr>
        <w:t>».</w:t>
      </w:r>
    </w:p>
    <w:p w14:paraId="5954A43A" w14:textId="77777777" w:rsidR="00DE1D34" w:rsidRDefault="00DE1D34" w:rsidP="00DE1D34">
      <w:pPr>
        <w:spacing w:after="160" w:line="259" w:lineRule="auto"/>
        <w:rPr>
          <w:b/>
          <w:bCs/>
          <w:sz w:val="24"/>
        </w:rPr>
      </w:pPr>
    </w:p>
    <w:p w14:paraId="11BA3C2C" w14:textId="640C8A78" w:rsidR="003E3E04" w:rsidRPr="003E3E04" w:rsidRDefault="003E3E04" w:rsidP="003E3E04">
      <w:pPr>
        <w:spacing w:line="276" w:lineRule="auto"/>
        <w:ind w:left="709" w:right="543"/>
        <w:jc w:val="center"/>
        <w:rPr>
          <w:b/>
          <w:sz w:val="24"/>
        </w:rPr>
      </w:pPr>
      <w:r w:rsidRPr="003E3E04">
        <w:rPr>
          <w:b/>
          <w:sz w:val="24"/>
        </w:rPr>
        <w:t xml:space="preserve">ART. </w:t>
      </w:r>
      <w:r>
        <w:rPr>
          <w:b/>
          <w:sz w:val="24"/>
        </w:rPr>
        <w:t>7</w:t>
      </w:r>
      <w:r w:rsidRPr="003E3E04">
        <w:rPr>
          <w:b/>
          <w:sz w:val="24"/>
        </w:rPr>
        <w:t xml:space="preserve"> </w:t>
      </w:r>
    </w:p>
    <w:p w14:paraId="54FB1185" w14:textId="77777777" w:rsidR="001841BA" w:rsidRPr="005C6FDB" w:rsidRDefault="001841BA" w:rsidP="001841BA">
      <w:pPr>
        <w:pStyle w:val="rubrica"/>
        <w:spacing w:before="0" w:beforeAutospacing="0" w:after="0" w:afterAutospacing="0"/>
        <w:jc w:val="center"/>
      </w:pPr>
      <w:r>
        <w:rPr>
          <w:i/>
          <w:iCs/>
        </w:rPr>
        <w:t>(Modifica all’</w:t>
      </w:r>
      <w:r w:rsidRPr="005C6FDB">
        <w:rPr>
          <w:i/>
          <w:iCs/>
        </w:rPr>
        <w:t>articolo 11-</w:t>
      </w:r>
      <w:r w:rsidRPr="005C6FDB">
        <w:t xml:space="preserve">bis </w:t>
      </w:r>
      <w:r w:rsidRPr="005C6FDB">
        <w:rPr>
          <w:i/>
          <w:iCs/>
        </w:rPr>
        <w:t>del decreto-legge 21 marzo 1978, n. 59)</w:t>
      </w:r>
    </w:p>
    <w:p w14:paraId="3EDBFE99" w14:textId="77777777" w:rsidR="001841BA" w:rsidRDefault="001841BA" w:rsidP="00C47549">
      <w:pPr>
        <w:pStyle w:val="NormaleWeb"/>
        <w:spacing w:before="0" w:beforeAutospacing="0" w:after="0" w:afterAutospacing="0" w:line="276" w:lineRule="auto"/>
        <w:jc w:val="both"/>
      </w:pPr>
      <w:r>
        <w:t>1. All’articolo 11-</w:t>
      </w:r>
      <w:r>
        <w:rPr>
          <w:i/>
          <w:iCs/>
        </w:rPr>
        <w:t>bis</w:t>
      </w:r>
      <w:r>
        <w:t xml:space="preserve"> del decreto-legge 21 marzo 1978, n. 59, convertito, con modificazioni, dalla legge 18 maggio 1978, n. 191, dopo il comma 3-</w:t>
      </w:r>
      <w:r>
        <w:rPr>
          <w:i/>
          <w:iCs/>
        </w:rPr>
        <w:t>bis</w:t>
      </w:r>
      <w:r>
        <w:t xml:space="preserve"> è aggiunto il seguente:</w:t>
      </w:r>
    </w:p>
    <w:p w14:paraId="18C300E9" w14:textId="1AFC59B4" w:rsidR="001841BA" w:rsidRDefault="001841BA" w:rsidP="00C47549">
      <w:pPr>
        <w:pStyle w:val="NormaleWeb"/>
        <w:spacing w:before="0" w:beforeAutospacing="0" w:after="0" w:afterAutospacing="0" w:line="276" w:lineRule="auto"/>
        <w:jc w:val="both"/>
      </w:pPr>
      <w:r>
        <w:t>«</w:t>
      </w:r>
      <w:r>
        <w:rPr>
          <w:i/>
          <w:iCs/>
        </w:rPr>
        <w:t>3-ter</w:t>
      </w:r>
      <w:r>
        <w:t xml:space="preserve">. L’accompagnamento e il trattenimento presso gli uffici di polizia di cui al comma 1 possono essere effettuati altresì nel corso di specifiche operazioni di polizia destinate alla prevenzione di reati che turbino l'ordine e la sicurezza pubblica in luoghi caratterizzati da un consistente afflusso di persone, nei confronti di soggetti rispetto ai quali, sulla base di specifiche e concrete circostanze di tempo e di luogo e di elementi di fatto, anche desunti dal possesso di taluno degli strumenti, degli </w:t>
      </w:r>
      <w:r>
        <w:lastRenderedPageBreak/>
        <w:t>oggetti e dei materiali indicati al comma 1 o dalla rilevanza di precedenti penali o di segnalazioni di polizia per delitti non colposi contro la persona o il patrimonio, ovvero per i delitti di cui agli articoli 73 e 74 del testo unico delle leggi in materia di disciplina degli stupefacenti e sostanze psicotrope, prevenzione, cura e riabilitazione dei relativi stati di tossicodipendenza, di cui al decreto del Presidente della Repubblica 9 ottobre 1990, n. 309, o per i reati di cui agli articoli 4 e 4-</w:t>
      </w:r>
      <w:r>
        <w:rPr>
          <w:i/>
          <w:iCs/>
        </w:rPr>
        <w:t>bis</w:t>
      </w:r>
      <w:r>
        <w:t xml:space="preserve"> della legge 18 aprile 1975, n. 110</w:t>
      </w:r>
      <w:r w:rsidR="005B6077">
        <w:t xml:space="preserve"> e articolo 420-bis del codice penale</w:t>
      </w:r>
      <w:r>
        <w:t>, commessi nel corso dei cinque anni precedenti, sussista un fondato motivo di ritenere che pongano in essere condotte di concreto pericolo per la sicurezza. Si applicano le disposizioni di cui ai commi 2, 3 e 3-</w:t>
      </w:r>
      <w:r>
        <w:rPr>
          <w:i/>
          <w:iCs/>
        </w:rPr>
        <w:t>bis</w:t>
      </w:r>
      <w:r>
        <w:t>».</w:t>
      </w:r>
    </w:p>
    <w:p w14:paraId="23EA6115" w14:textId="77777777" w:rsidR="00DE1D34" w:rsidRDefault="00DE1D34" w:rsidP="003E3E04">
      <w:pPr>
        <w:spacing w:after="160" w:line="259" w:lineRule="auto"/>
        <w:rPr>
          <w:b/>
          <w:bCs/>
          <w:sz w:val="24"/>
        </w:rPr>
      </w:pPr>
    </w:p>
    <w:p w14:paraId="0B438445" w14:textId="4E2E54B8" w:rsidR="00647015" w:rsidRPr="00E52B26" w:rsidRDefault="00647015" w:rsidP="007F41EC">
      <w:pPr>
        <w:spacing w:after="160" w:line="259" w:lineRule="auto"/>
        <w:jc w:val="center"/>
        <w:rPr>
          <w:b/>
          <w:bCs/>
          <w:sz w:val="24"/>
        </w:rPr>
      </w:pPr>
      <w:r w:rsidRPr="00E52B26">
        <w:rPr>
          <w:b/>
          <w:bCs/>
          <w:sz w:val="24"/>
        </w:rPr>
        <w:t xml:space="preserve">ART. </w:t>
      </w:r>
      <w:r w:rsidR="00105027">
        <w:rPr>
          <w:b/>
          <w:bCs/>
          <w:sz w:val="24"/>
        </w:rPr>
        <w:t>8</w:t>
      </w:r>
    </w:p>
    <w:p w14:paraId="38360CC8" w14:textId="77777777" w:rsidR="00647015" w:rsidRPr="00E52B26" w:rsidRDefault="00647015" w:rsidP="00E52B26">
      <w:pPr>
        <w:spacing w:line="276" w:lineRule="auto"/>
        <w:jc w:val="center"/>
        <w:rPr>
          <w:sz w:val="24"/>
        </w:rPr>
      </w:pPr>
      <w:r w:rsidRPr="00E52B26">
        <w:rPr>
          <w:sz w:val="24"/>
        </w:rPr>
        <w:t>(</w:t>
      </w:r>
      <w:r w:rsidRPr="00E52B26">
        <w:rPr>
          <w:i/>
          <w:iCs/>
          <w:color w:val="1B1A17"/>
          <w:sz w:val="24"/>
        </w:rPr>
        <w:t>Disposizioni urgenti per il potenziamento delle misure di sicurezza connesse ai gravi incidenti occorsi nella città di Milano</w:t>
      </w:r>
      <w:r w:rsidRPr="00E52B26">
        <w:rPr>
          <w:sz w:val="24"/>
        </w:rPr>
        <w:t>)</w:t>
      </w:r>
    </w:p>
    <w:p w14:paraId="37B1E2B0" w14:textId="6FCEF5B8" w:rsidR="00944B35" w:rsidRPr="00944B35" w:rsidRDefault="00944B35" w:rsidP="00944B35">
      <w:pPr>
        <w:spacing w:after="160" w:line="256" w:lineRule="auto"/>
        <w:jc w:val="both"/>
        <w:rPr>
          <w:rFonts w:eastAsia="Calibri"/>
          <w:color w:val="1B1A17"/>
          <w:sz w:val="24"/>
          <w:lang w:eastAsia="en-US"/>
        </w:rPr>
      </w:pPr>
      <w:r w:rsidRPr="00944B35">
        <w:rPr>
          <w:rFonts w:eastAsia="Calibri"/>
          <w:color w:val="1B1A17"/>
          <w:sz w:val="24"/>
          <w:lang w:eastAsia="en-US"/>
        </w:rPr>
        <w:t xml:space="preserve">1. Fino al 31 dicembre 2026, al fine </w:t>
      </w:r>
      <w:r w:rsidRPr="002169AB">
        <w:rPr>
          <w:rFonts w:eastAsia="Calibri"/>
          <w:color w:val="1B1A17"/>
          <w:sz w:val="24"/>
          <w:lang w:eastAsia="en-US"/>
        </w:rPr>
        <w:t xml:space="preserve">di rafforzare </w:t>
      </w:r>
      <w:r w:rsidR="002169AB" w:rsidRPr="001227DF">
        <w:rPr>
          <w:rFonts w:eastAsia="Calibri"/>
          <w:color w:val="1B1A17"/>
          <w:sz w:val="24"/>
          <w:lang w:eastAsia="en-US"/>
        </w:rPr>
        <w:t>il controllo del territorio</w:t>
      </w:r>
      <w:r w:rsidR="002169AB">
        <w:rPr>
          <w:rFonts w:eastAsia="Calibri"/>
          <w:color w:val="1B1A17"/>
          <w:sz w:val="24"/>
          <w:lang w:eastAsia="en-US"/>
        </w:rPr>
        <w:t xml:space="preserve"> </w:t>
      </w:r>
      <w:r w:rsidRPr="00944B35">
        <w:rPr>
          <w:rFonts w:eastAsia="Calibri"/>
          <w:color w:val="1B1A17"/>
          <w:sz w:val="24"/>
          <w:lang w:eastAsia="en-US"/>
        </w:rPr>
        <w:t xml:space="preserve">nella città di Milano, il contingente di personale delle Forze armate di cui all’articolo 1, comma 625, della legge 30 dicembre 2024, n. 207, è incrementato di 500 unità. Dalla data di impiego del </w:t>
      </w:r>
      <w:proofErr w:type="gramStart"/>
      <w:r w:rsidRPr="00944B35">
        <w:rPr>
          <w:rFonts w:eastAsia="Calibri"/>
          <w:color w:val="1B1A17"/>
          <w:sz w:val="24"/>
          <w:lang w:eastAsia="en-US"/>
        </w:rPr>
        <w:t>predetto</w:t>
      </w:r>
      <w:proofErr w:type="gramEnd"/>
      <w:r w:rsidRPr="00944B35">
        <w:rPr>
          <w:rFonts w:eastAsia="Calibri"/>
          <w:color w:val="1B1A17"/>
          <w:sz w:val="24"/>
          <w:lang w:eastAsia="en-US"/>
        </w:rPr>
        <w:t xml:space="preserve"> personale, si applicano le disposizioni di cui all’articolo 7-</w:t>
      </w:r>
      <w:r w:rsidRPr="00944B35">
        <w:rPr>
          <w:rFonts w:eastAsia="Calibri"/>
          <w:i/>
          <w:iCs/>
          <w:color w:val="1B1A17"/>
          <w:sz w:val="24"/>
          <w:lang w:eastAsia="en-US"/>
        </w:rPr>
        <w:t>bis</w:t>
      </w:r>
      <w:r w:rsidRPr="00944B35">
        <w:rPr>
          <w:rFonts w:eastAsia="Calibri"/>
          <w:color w:val="1B1A17"/>
          <w:sz w:val="24"/>
          <w:lang w:eastAsia="en-US"/>
        </w:rPr>
        <w:t xml:space="preserve">, commi 1, 2 e 3, del decreto-legge 23 maggio 2008, n. 92, convertito, con modificazioni, dalla legge 24 luglio 2008, n. 125. </w:t>
      </w:r>
    </w:p>
    <w:p w14:paraId="3E52422B" w14:textId="77777777" w:rsidR="00944B35" w:rsidRPr="00944B35" w:rsidRDefault="00944B35" w:rsidP="00944B35">
      <w:pPr>
        <w:spacing w:after="160" w:line="256" w:lineRule="auto"/>
        <w:jc w:val="both"/>
        <w:rPr>
          <w:rFonts w:eastAsia="Calibri"/>
          <w:color w:val="1B1A17"/>
          <w:sz w:val="24"/>
          <w:lang w:eastAsia="en-US"/>
        </w:rPr>
      </w:pPr>
      <w:r w:rsidRPr="00944B35">
        <w:rPr>
          <w:rFonts w:eastAsia="Calibri"/>
          <w:sz w:val="24"/>
          <w:lang w:eastAsia="en-US"/>
        </w:rPr>
        <w:t>2.</w:t>
      </w:r>
      <w:r w:rsidRPr="00944B35">
        <w:rPr>
          <w:rFonts w:eastAsia="Calibri"/>
          <w:color w:val="1B1A17"/>
          <w:sz w:val="24"/>
          <w:lang w:eastAsia="en-US"/>
        </w:rPr>
        <w:t xml:space="preserve"> Al fine di assicurare il tempestivo impiego del contingente militare di cui al comma 1 nonché il soddisfacimento delle connesse esigenze logistiche, infrastrutturali e di supporto operativo, il Ministero della difesa è autorizzato, per gli interventi necessari, a procedere all’acquisizione di servizi e forniture mediante le procedure di somma urgenza di cui agli articoli 140 e 140-</w:t>
      </w:r>
      <w:r w:rsidRPr="00944B35">
        <w:rPr>
          <w:rFonts w:eastAsia="Calibri"/>
          <w:i/>
          <w:iCs/>
          <w:color w:val="1B1A17"/>
          <w:sz w:val="24"/>
          <w:lang w:eastAsia="en-US"/>
        </w:rPr>
        <w:t>bis</w:t>
      </w:r>
      <w:r w:rsidRPr="00944B35">
        <w:rPr>
          <w:rFonts w:eastAsia="Calibri"/>
          <w:color w:val="1B1A17"/>
          <w:sz w:val="24"/>
          <w:lang w:eastAsia="en-US"/>
        </w:rPr>
        <w:t xml:space="preserve"> del decreto legislativo 31 marzo 2023, n. 36. Ai fini dell’applicazione dei </w:t>
      </w:r>
      <w:proofErr w:type="gramStart"/>
      <w:r w:rsidRPr="00944B35">
        <w:rPr>
          <w:rFonts w:eastAsia="Calibri"/>
          <w:color w:val="1B1A17"/>
          <w:sz w:val="24"/>
          <w:lang w:eastAsia="en-US"/>
        </w:rPr>
        <w:t>predetti</w:t>
      </w:r>
      <w:proofErr w:type="gramEnd"/>
      <w:r w:rsidRPr="00944B35">
        <w:rPr>
          <w:rFonts w:eastAsia="Calibri"/>
          <w:color w:val="1B1A17"/>
          <w:sz w:val="24"/>
          <w:lang w:eastAsia="en-US"/>
        </w:rPr>
        <w:t xml:space="preserve"> articoli, le esigenze di cui al presente comma sono equiparate alle circostanze di somma urgenza di cui ai commi 1 e 1-</w:t>
      </w:r>
      <w:r w:rsidRPr="00944B35">
        <w:rPr>
          <w:rFonts w:eastAsia="Calibri"/>
          <w:i/>
          <w:iCs/>
          <w:color w:val="1B1A17"/>
          <w:sz w:val="24"/>
          <w:lang w:eastAsia="en-US"/>
        </w:rPr>
        <w:t>bis</w:t>
      </w:r>
      <w:r w:rsidRPr="00944B35">
        <w:rPr>
          <w:rFonts w:eastAsia="Calibri"/>
          <w:color w:val="1B1A17"/>
          <w:sz w:val="24"/>
          <w:lang w:eastAsia="en-US"/>
        </w:rPr>
        <w:t xml:space="preserve"> del medesimo articolo 140.</w:t>
      </w:r>
    </w:p>
    <w:p w14:paraId="74C1495A" w14:textId="77777777" w:rsidR="00944B35" w:rsidRPr="00944B35" w:rsidRDefault="00944B35" w:rsidP="00944B35">
      <w:pPr>
        <w:spacing w:after="160" w:line="256" w:lineRule="auto"/>
        <w:jc w:val="both"/>
        <w:rPr>
          <w:rFonts w:eastAsia="Calibri"/>
          <w:color w:val="1B1A17"/>
          <w:sz w:val="24"/>
          <w:lang w:eastAsia="en-US"/>
        </w:rPr>
      </w:pPr>
      <w:r w:rsidRPr="00944B35">
        <w:rPr>
          <w:rFonts w:eastAsia="Calibri"/>
          <w:sz w:val="24"/>
          <w:lang w:eastAsia="en-US"/>
        </w:rPr>
        <w:t>3. Per l’attuazione del presente articolo è autorizzata la spesa di euro 4.753.131,00 a cui si provvede mediante….</w:t>
      </w:r>
    </w:p>
    <w:p w14:paraId="483A9A70" w14:textId="77777777" w:rsidR="00647015" w:rsidRPr="00E52B26" w:rsidRDefault="00647015" w:rsidP="00E52B26">
      <w:pPr>
        <w:spacing w:line="276" w:lineRule="auto"/>
        <w:jc w:val="both"/>
        <w:rPr>
          <w:sz w:val="24"/>
        </w:rPr>
      </w:pPr>
    </w:p>
    <w:p w14:paraId="5723556E" w14:textId="77777777" w:rsidR="00250325" w:rsidRPr="00E52B26" w:rsidRDefault="00250325" w:rsidP="00E52B26">
      <w:pPr>
        <w:spacing w:line="276" w:lineRule="auto"/>
        <w:jc w:val="both"/>
        <w:rPr>
          <w:sz w:val="24"/>
        </w:rPr>
      </w:pPr>
    </w:p>
    <w:sectPr w:rsidR="00250325" w:rsidRPr="00E52B26">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EF4ED" w14:textId="77777777" w:rsidR="00642410" w:rsidRDefault="00642410" w:rsidP="00AA0475">
      <w:r>
        <w:separator/>
      </w:r>
    </w:p>
  </w:endnote>
  <w:endnote w:type="continuationSeparator" w:id="0">
    <w:p w14:paraId="12A9189A" w14:textId="77777777" w:rsidR="00642410" w:rsidRDefault="00642410" w:rsidP="00AA0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U 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482934"/>
      <w:docPartObj>
        <w:docPartGallery w:val="Page Numbers (Bottom of Page)"/>
        <w:docPartUnique/>
      </w:docPartObj>
    </w:sdtPr>
    <w:sdtEndPr/>
    <w:sdtContent>
      <w:p w14:paraId="428DA566" w14:textId="3AEED041" w:rsidR="00AA0475" w:rsidRDefault="00AA0475">
        <w:pPr>
          <w:pStyle w:val="Pidipagina"/>
          <w:jc w:val="center"/>
        </w:pPr>
        <w:r>
          <w:fldChar w:fldCharType="begin"/>
        </w:r>
        <w:r>
          <w:instrText>PAGE   \* MERGEFORMAT</w:instrText>
        </w:r>
        <w:r>
          <w:fldChar w:fldCharType="separate"/>
        </w:r>
        <w:r>
          <w:t>2</w:t>
        </w:r>
        <w:r>
          <w:fldChar w:fldCharType="end"/>
        </w:r>
      </w:p>
    </w:sdtContent>
  </w:sdt>
  <w:p w14:paraId="6F3B4636" w14:textId="77777777" w:rsidR="00AA0475" w:rsidRDefault="00AA04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9304E" w14:textId="77777777" w:rsidR="00642410" w:rsidRDefault="00642410" w:rsidP="00AA0475">
      <w:r>
        <w:separator/>
      </w:r>
    </w:p>
  </w:footnote>
  <w:footnote w:type="continuationSeparator" w:id="0">
    <w:p w14:paraId="0F2C42EE" w14:textId="77777777" w:rsidR="00642410" w:rsidRDefault="00642410" w:rsidP="00AA04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45539"/>
    <w:multiLevelType w:val="hybridMultilevel"/>
    <w:tmpl w:val="7E88A0F8"/>
    <w:lvl w:ilvl="0" w:tplc="483A322E">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E7C4E49"/>
    <w:multiLevelType w:val="hybridMultilevel"/>
    <w:tmpl w:val="95F210C8"/>
    <w:lvl w:ilvl="0" w:tplc="2E469114">
      <w:start w:val="1"/>
      <w:numFmt w:val="lowerLetter"/>
      <w:lvlText w:val="%1)"/>
      <w:lvlJc w:val="left"/>
      <w:pPr>
        <w:ind w:left="1428" w:hanging="360"/>
      </w:pPr>
      <w:rPr>
        <w:rFonts w:hint="default"/>
        <w:i/>
        <w:iCs w:val="0"/>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 w15:restartNumberingAfterBreak="0">
    <w:nsid w:val="29914B90"/>
    <w:multiLevelType w:val="hybridMultilevel"/>
    <w:tmpl w:val="95F210C8"/>
    <w:lvl w:ilvl="0" w:tplc="FFFFFFFF">
      <w:start w:val="1"/>
      <w:numFmt w:val="lowerLetter"/>
      <w:lvlText w:val="%1)"/>
      <w:lvlJc w:val="left"/>
      <w:pPr>
        <w:ind w:left="1428" w:hanging="360"/>
      </w:pPr>
      <w:rPr>
        <w:rFonts w:hint="default"/>
        <w:i/>
        <w:iCs w:val="0"/>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 w15:restartNumberingAfterBreak="0">
    <w:nsid w:val="31456D5E"/>
    <w:multiLevelType w:val="hybridMultilevel"/>
    <w:tmpl w:val="6610F85C"/>
    <w:lvl w:ilvl="0" w:tplc="AD9CB43E">
      <w:start w:val="1"/>
      <w:numFmt w:val="lowerLetter"/>
      <w:lvlText w:val="%1)"/>
      <w:lvlJc w:val="left"/>
      <w:pPr>
        <w:ind w:left="720" w:hanging="360"/>
      </w:pPr>
      <w:rPr>
        <w:rFonts w:hint="default"/>
        <w:i/>
        <w:i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6EE1089"/>
    <w:multiLevelType w:val="hybridMultilevel"/>
    <w:tmpl w:val="82A80AB8"/>
    <w:lvl w:ilvl="0" w:tplc="C652BDF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3C1B2836"/>
    <w:multiLevelType w:val="hybridMultilevel"/>
    <w:tmpl w:val="9328E7AA"/>
    <w:lvl w:ilvl="0" w:tplc="8542A05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0C04409"/>
    <w:multiLevelType w:val="hybridMultilevel"/>
    <w:tmpl w:val="A2BEF11E"/>
    <w:lvl w:ilvl="0" w:tplc="958490CE">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7" w15:restartNumberingAfterBreak="0">
    <w:nsid w:val="41CD287A"/>
    <w:multiLevelType w:val="hybridMultilevel"/>
    <w:tmpl w:val="C65AE178"/>
    <w:lvl w:ilvl="0" w:tplc="EEC49490">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4DD1D28"/>
    <w:multiLevelType w:val="hybridMultilevel"/>
    <w:tmpl w:val="00B68C90"/>
    <w:lvl w:ilvl="0" w:tplc="555AC51A">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614C6470"/>
    <w:multiLevelType w:val="hybridMultilevel"/>
    <w:tmpl w:val="690A354A"/>
    <w:lvl w:ilvl="0" w:tplc="1368FED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6D669B7"/>
    <w:multiLevelType w:val="hybridMultilevel"/>
    <w:tmpl w:val="2D28D3DA"/>
    <w:lvl w:ilvl="0" w:tplc="78CA5856">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1" w15:restartNumberingAfterBreak="0">
    <w:nsid w:val="6B3E7981"/>
    <w:multiLevelType w:val="multilevel"/>
    <w:tmpl w:val="4C8CE4CA"/>
    <w:lvl w:ilvl="0">
      <w:start w:val="2"/>
      <w:numFmt w:val="decimal"/>
      <w:lvlText w:val="%1."/>
      <w:lvlJc w:val="left"/>
      <w:pPr>
        <w:ind w:left="375" w:hanging="375"/>
      </w:pPr>
      <w:rPr>
        <w:rFonts w:hint="default"/>
      </w:rPr>
    </w:lvl>
    <w:lvl w:ilvl="1">
      <w:start w:val="1"/>
      <w:numFmt w:val="decimal"/>
      <w:lvlText w:val="%1.%2)"/>
      <w:lvlJc w:val="left"/>
      <w:pPr>
        <w:ind w:left="2073" w:hanging="72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624" w:hanging="1800"/>
      </w:pPr>
      <w:rPr>
        <w:rFonts w:hint="default"/>
      </w:rPr>
    </w:lvl>
  </w:abstractNum>
  <w:abstractNum w:abstractNumId="12" w15:restartNumberingAfterBreak="0">
    <w:nsid w:val="6F3C19B2"/>
    <w:multiLevelType w:val="hybridMultilevel"/>
    <w:tmpl w:val="2D28D3DA"/>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71133056"/>
    <w:multiLevelType w:val="hybridMultilevel"/>
    <w:tmpl w:val="336E7CE8"/>
    <w:lvl w:ilvl="0" w:tplc="0D968358">
      <w:start w:val="1"/>
      <w:numFmt w:val="decimal"/>
      <w:lvlText w:val="%1)"/>
      <w:lvlJc w:val="left"/>
      <w:pPr>
        <w:ind w:left="1353" w:hanging="360"/>
      </w:pPr>
      <w:rPr>
        <w:rFonts w:hint="default"/>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14" w15:restartNumberingAfterBreak="0">
    <w:nsid w:val="770A79D7"/>
    <w:multiLevelType w:val="hybridMultilevel"/>
    <w:tmpl w:val="7598C2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88677123">
    <w:abstractNumId w:val="3"/>
  </w:num>
  <w:num w:numId="2" w16cid:durableId="1496535106">
    <w:abstractNumId w:val="13"/>
  </w:num>
  <w:num w:numId="3" w16cid:durableId="1820462341">
    <w:abstractNumId w:val="10"/>
  </w:num>
  <w:num w:numId="4" w16cid:durableId="827743026">
    <w:abstractNumId w:val="1"/>
  </w:num>
  <w:num w:numId="5" w16cid:durableId="1504517118">
    <w:abstractNumId w:val="0"/>
  </w:num>
  <w:num w:numId="6" w16cid:durableId="228730923">
    <w:abstractNumId w:val="8"/>
  </w:num>
  <w:num w:numId="7" w16cid:durableId="1826320173">
    <w:abstractNumId w:val="4"/>
  </w:num>
  <w:num w:numId="8" w16cid:durableId="522865469">
    <w:abstractNumId w:val="14"/>
  </w:num>
  <w:num w:numId="9" w16cid:durableId="1745293509">
    <w:abstractNumId w:val="11"/>
  </w:num>
  <w:num w:numId="10" w16cid:durableId="2081443303">
    <w:abstractNumId w:val="12"/>
  </w:num>
  <w:num w:numId="11" w16cid:durableId="69694968">
    <w:abstractNumId w:val="7"/>
  </w:num>
  <w:num w:numId="12" w16cid:durableId="85004846">
    <w:abstractNumId w:val="2"/>
  </w:num>
  <w:num w:numId="13" w16cid:durableId="1674458133">
    <w:abstractNumId w:val="5"/>
  </w:num>
  <w:num w:numId="14" w16cid:durableId="1951623702">
    <w:abstractNumId w:val="9"/>
  </w:num>
  <w:num w:numId="15" w16cid:durableId="161630037">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AE"/>
    <w:rsid w:val="000002BF"/>
    <w:rsid w:val="000072C7"/>
    <w:rsid w:val="000074FB"/>
    <w:rsid w:val="000313B8"/>
    <w:rsid w:val="00050C3A"/>
    <w:rsid w:val="000544FD"/>
    <w:rsid w:val="00066B5A"/>
    <w:rsid w:val="000B04DA"/>
    <w:rsid w:val="000C3982"/>
    <w:rsid w:val="000E37E0"/>
    <w:rsid w:val="000E3BC2"/>
    <w:rsid w:val="00105027"/>
    <w:rsid w:val="00113861"/>
    <w:rsid w:val="00116E33"/>
    <w:rsid w:val="00120F2D"/>
    <w:rsid w:val="001227DF"/>
    <w:rsid w:val="00153F77"/>
    <w:rsid w:val="00183302"/>
    <w:rsid w:val="001841BA"/>
    <w:rsid w:val="001A6250"/>
    <w:rsid w:val="001D23F5"/>
    <w:rsid w:val="001E27A6"/>
    <w:rsid w:val="001F6970"/>
    <w:rsid w:val="002054DE"/>
    <w:rsid w:val="002128EF"/>
    <w:rsid w:val="002169AB"/>
    <w:rsid w:val="00235AC5"/>
    <w:rsid w:val="00250325"/>
    <w:rsid w:val="002535AD"/>
    <w:rsid w:val="00270D87"/>
    <w:rsid w:val="00277C0F"/>
    <w:rsid w:val="00280CFB"/>
    <w:rsid w:val="002869C3"/>
    <w:rsid w:val="002B046D"/>
    <w:rsid w:val="002D69B0"/>
    <w:rsid w:val="00303E42"/>
    <w:rsid w:val="00304873"/>
    <w:rsid w:val="00323CC6"/>
    <w:rsid w:val="0036238F"/>
    <w:rsid w:val="00375437"/>
    <w:rsid w:val="00383F1E"/>
    <w:rsid w:val="003C130D"/>
    <w:rsid w:val="003E3E04"/>
    <w:rsid w:val="003F3D8A"/>
    <w:rsid w:val="0041354B"/>
    <w:rsid w:val="00432B67"/>
    <w:rsid w:val="00443130"/>
    <w:rsid w:val="00452D30"/>
    <w:rsid w:val="00471493"/>
    <w:rsid w:val="00481C4F"/>
    <w:rsid w:val="00494137"/>
    <w:rsid w:val="004A6040"/>
    <w:rsid w:val="004B4222"/>
    <w:rsid w:val="004F2B3F"/>
    <w:rsid w:val="005168A1"/>
    <w:rsid w:val="00527048"/>
    <w:rsid w:val="005318B4"/>
    <w:rsid w:val="005357E5"/>
    <w:rsid w:val="0054524E"/>
    <w:rsid w:val="005464B3"/>
    <w:rsid w:val="0056730F"/>
    <w:rsid w:val="00574987"/>
    <w:rsid w:val="005756F0"/>
    <w:rsid w:val="00576CAE"/>
    <w:rsid w:val="00583515"/>
    <w:rsid w:val="00590109"/>
    <w:rsid w:val="005B6077"/>
    <w:rsid w:val="005C27ED"/>
    <w:rsid w:val="005D2D06"/>
    <w:rsid w:val="005D3818"/>
    <w:rsid w:val="005E69B5"/>
    <w:rsid w:val="0060289F"/>
    <w:rsid w:val="006171C8"/>
    <w:rsid w:val="00632D38"/>
    <w:rsid w:val="00633528"/>
    <w:rsid w:val="00642410"/>
    <w:rsid w:val="00647015"/>
    <w:rsid w:val="00654359"/>
    <w:rsid w:val="006561E4"/>
    <w:rsid w:val="00690508"/>
    <w:rsid w:val="006D26E9"/>
    <w:rsid w:val="006E0F40"/>
    <w:rsid w:val="006E3D93"/>
    <w:rsid w:val="006F11E2"/>
    <w:rsid w:val="006F3883"/>
    <w:rsid w:val="006F4712"/>
    <w:rsid w:val="00703494"/>
    <w:rsid w:val="00703923"/>
    <w:rsid w:val="00710374"/>
    <w:rsid w:val="0073683B"/>
    <w:rsid w:val="007721B2"/>
    <w:rsid w:val="007A12E7"/>
    <w:rsid w:val="007A6864"/>
    <w:rsid w:val="007B4FBA"/>
    <w:rsid w:val="007C154E"/>
    <w:rsid w:val="007C2214"/>
    <w:rsid w:val="007D23AA"/>
    <w:rsid w:val="007F41EC"/>
    <w:rsid w:val="00846592"/>
    <w:rsid w:val="008906A5"/>
    <w:rsid w:val="00890BC9"/>
    <w:rsid w:val="008B53CC"/>
    <w:rsid w:val="008D5A59"/>
    <w:rsid w:val="008F4C1C"/>
    <w:rsid w:val="00906E41"/>
    <w:rsid w:val="009240BD"/>
    <w:rsid w:val="00932B6E"/>
    <w:rsid w:val="00944B35"/>
    <w:rsid w:val="00947240"/>
    <w:rsid w:val="00951791"/>
    <w:rsid w:val="00986952"/>
    <w:rsid w:val="009B64E6"/>
    <w:rsid w:val="009C1E09"/>
    <w:rsid w:val="009C63AF"/>
    <w:rsid w:val="009E77DF"/>
    <w:rsid w:val="00A071C4"/>
    <w:rsid w:val="00A07526"/>
    <w:rsid w:val="00A7150B"/>
    <w:rsid w:val="00A8150F"/>
    <w:rsid w:val="00A94C6D"/>
    <w:rsid w:val="00AA0475"/>
    <w:rsid w:val="00AA278C"/>
    <w:rsid w:val="00AA4DFC"/>
    <w:rsid w:val="00AC0DFA"/>
    <w:rsid w:val="00AF3ACF"/>
    <w:rsid w:val="00AF5C64"/>
    <w:rsid w:val="00B06C04"/>
    <w:rsid w:val="00B43630"/>
    <w:rsid w:val="00B438B2"/>
    <w:rsid w:val="00B47323"/>
    <w:rsid w:val="00B47963"/>
    <w:rsid w:val="00B60F99"/>
    <w:rsid w:val="00B731B7"/>
    <w:rsid w:val="00BC477A"/>
    <w:rsid w:val="00BE5E6C"/>
    <w:rsid w:val="00C23A16"/>
    <w:rsid w:val="00C306DB"/>
    <w:rsid w:val="00C42A05"/>
    <w:rsid w:val="00C47549"/>
    <w:rsid w:val="00C771A8"/>
    <w:rsid w:val="00C81F81"/>
    <w:rsid w:val="00C83259"/>
    <w:rsid w:val="00C903CC"/>
    <w:rsid w:val="00C95A56"/>
    <w:rsid w:val="00CC5E8B"/>
    <w:rsid w:val="00CD6C25"/>
    <w:rsid w:val="00CF2149"/>
    <w:rsid w:val="00D309B7"/>
    <w:rsid w:val="00D32612"/>
    <w:rsid w:val="00D44C42"/>
    <w:rsid w:val="00D745AC"/>
    <w:rsid w:val="00DA17DB"/>
    <w:rsid w:val="00DE1D34"/>
    <w:rsid w:val="00DE2FBF"/>
    <w:rsid w:val="00E04A79"/>
    <w:rsid w:val="00E2101F"/>
    <w:rsid w:val="00E266F0"/>
    <w:rsid w:val="00E30D15"/>
    <w:rsid w:val="00E357C0"/>
    <w:rsid w:val="00E52B26"/>
    <w:rsid w:val="00E779C0"/>
    <w:rsid w:val="00EB78BF"/>
    <w:rsid w:val="00EF1CF7"/>
    <w:rsid w:val="00EF785E"/>
    <w:rsid w:val="00F01465"/>
    <w:rsid w:val="00F03A9B"/>
    <w:rsid w:val="00F76B84"/>
    <w:rsid w:val="00F95AAD"/>
    <w:rsid w:val="00FA13D4"/>
    <w:rsid w:val="00FA540C"/>
    <w:rsid w:val="00FA54EC"/>
    <w:rsid w:val="00FC01F2"/>
    <w:rsid w:val="00FC25C4"/>
    <w:rsid w:val="00FD5F00"/>
    <w:rsid w:val="00FF0707"/>
    <w:rsid w:val="00FF16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04B66"/>
  <w15:chartTrackingRefBased/>
  <w15:docId w15:val="{EFD1B097-C2BC-4D7B-93AD-2E9AC639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64B3"/>
    <w:pPr>
      <w:spacing w:after="0" w:line="240" w:lineRule="auto"/>
    </w:pPr>
    <w:rPr>
      <w:rFonts w:ascii="Times New Roman" w:eastAsia="Times New Roman" w:hAnsi="Times New Roman" w:cs="Times New Roman"/>
      <w:kern w:val="0"/>
      <w:sz w:val="28"/>
      <w:lang w:eastAsia="it-IT"/>
      <w14:ligatures w14:val="none"/>
    </w:rPr>
  </w:style>
  <w:style w:type="paragraph" w:styleId="Titolo1">
    <w:name w:val="heading 1"/>
    <w:basedOn w:val="Normale"/>
    <w:next w:val="Normale"/>
    <w:link w:val="Titolo1Carattere"/>
    <w:uiPriority w:val="9"/>
    <w:qFormat/>
    <w:rsid w:val="00576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76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76CAE"/>
    <w:pPr>
      <w:keepNext/>
      <w:keepLines/>
      <w:spacing w:before="160" w:after="80"/>
      <w:outlineLvl w:val="2"/>
    </w:pPr>
    <w:rPr>
      <w:rFonts w:eastAsiaTheme="majorEastAsia" w:cstheme="majorBidi"/>
      <w:color w:val="0F4761" w:themeColor="accent1" w:themeShade="BF"/>
      <w:szCs w:val="28"/>
    </w:rPr>
  </w:style>
  <w:style w:type="paragraph" w:styleId="Titolo4">
    <w:name w:val="heading 4"/>
    <w:basedOn w:val="Normale"/>
    <w:next w:val="Normale"/>
    <w:link w:val="Titolo4Carattere"/>
    <w:uiPriority w:val="9"/>
    <w:semiHidden/>
    <w:unhideWhenUsed/>
    <w:qFormat/>
    <w:rsid w:val="00576CA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76CA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76CA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76CA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76CA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76CA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76CA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76CA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76CA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76CA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76CA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76CA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76CA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76CA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76CAE"/>
    <w:rPr>
      <w:rFonts w:eastAsiaTheme="majorEastAsia" w:cstheme="majorBidi"/>
      <w:color w:val="272727" w:themeColor="text1" w:themeTint="D8"/>
    </w:rPr>
  </w:style>
  <w:style w:type="paragraph" w:styleId="Titolo">
    <w:name w:val="Title"/>
    <w:basedOn w:val="Normale"/>
    <w:next w:val="Normale"/>
    <w:link w:val="TitoloCarattere"/>
    <w:uiPriority w:val="10"/>
    <w:qFormat/>
    <w:rsid w:val="00576CA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76CA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76CAE"/>
    <w:pPr>
      <w:numPr>
        <w:ilvl w:val="1"/>
      </w:numPr>
    </w:pPr>
    <w:rPr>
      <w:rFonts w:eastAsiaTheme="majorEastAsia" w:cstheme="majorBidi"/>
      <w:color w:val="595959" w:themeColor="text1" w:themeTint="A6"/>
      <w:spacing w:val="15"/>
      <w:szCs w:val="28"/>
    </w:rPr>
  </w:style>
  <w:style w:type="character" w:customStyle="1" w:styleId="SottotitoloCarattere">
    <w:name w:val="Sottotitolo Carattere"/>
    <w:basedOn w:val="Carpredefinitoparagrafo"/>
    <w:link w:val="Sottotitolo"/>
    <w:uiPriority w:val="11"/>
    <w:rsid w:val="00576CA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76CA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76CAE"/>
    <w:rPr>
      <w:i/>
      <w:iCs/>
      <w:color w:val="404040" w:themeColor="text1" w:themeTint="BF"/>
    </w:rPr>
  </w:style>
  <w:style w:type="paragraph" w:styleId="Paragrafoelenco">
    <w:name w:val="List Paragraph"/>
    <w:aliases w:val="Trattino,Numero,Punto elenco 1,Sottoparagrafo elenco,List Paragraph2,Bullet edison,List Paragraph3,Paragraphe EI,Paragraphe de liste1,EC,Bullet List,FooterText,lp1,List Paragraph1,lp11,List Paragraph11,Use Case List Paragraph,numbered,3"/>
    <w:basedOn w:val="Normale"/>
    <w:link w:val="ParagrafoelencoCarattere"/>
    <w:uiPriority w:val="34"/>
    <w:qFormat/>
    <w:rsid w:val="00576CAE"/>
    <w:pPr>
      <w:ind w:left="720"/>
      <w:contextualSpacing/>
    </w:pPr>
  </w:style>
  <w:style w:type="character" w:styleId="Enfasiintensa">
    <w:name w:val="Intense Emphasis"/>
    <w:basedOn w:val="Carpredefinitoparagrafo"/>
    <w:uiPriority w:val="21"/>
    <w:qFormat/>
    <w:rsid w:val="00576CAE"/>
    <w:rPr>
      <w:i/>
      <w:iCs/>
      <w:color w:val="0F4761" w:themeColor="accent1" w:themeShade="BF"/>
    </w:rPr>
  </w:style>
  <w:style w:type="paragraph" w:styleId="Citazioneintensa">
    <w:name w:val="Intense Quote"/>
    <w:basedOn w:val="Normale"/>
    <w:next w:val="Normale"/>
    <w:link w:val="CitazioneintensaCarattere"/>
    <w:uiPriority w:val="30"/>
    <w:qFormat/>
    <w:rsid w:val="00576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76CAE"/>
    <w:rPr>
      <w:i/>
      <w:iCs/>
      <w:color w:val="0F4761" w:themeColor="accent1" w:themeShade="BF"/>
    </w:rPr>
  </w:style>
  <w:style w:type="character" w:styleId="Riferimentointenso">
    <w:name w:val="Intense Reference"/>
    <w:basedOn w:val="Carpredefinitoparagrafo"/>
    <w:uiPriority w:val="32"/>
    <w:qFormat/>
    <w:rsid w:val="00576CAE"/>
    <w:rPr>
      <w:b/>
      <w:bCs/>
      <w:smallCaps/>
      <w:color w:val="0F4761" w:themeColor="accent1" w:themeShade="BF"/>
      <w:spacing w:val="5"/>
    </w:rPr>
  </w:style>
  <w:style w:type="character" w:customStyle="1" w:styleId="ParagrafoelencoCarattere">
    <w:name w:val="Paragrafo elenco Carattere"/>
    <w:aliases w:val="Trattino Carattere,Numero Carattere,Punto elenco 1 Carattere,Sottoparagrafo elenco Carattere,List Paragraph2 Carattere,Bullet edison Carattere,List Paragraph3 Carattere,Paragraphe EI Carattere,Paragraphe de liste1 Carattere"/>
    <w:basedOn w:val="Carpredefinitoparagrafo"/>
    <w:link w:val="Paragrafoelenco"/>
    <w:uiPriority w:val="34"/>
    <w:qFormat/>
    <w:locked/>
    <w:rsid w:val="005464B3"/>
  </w:style>
  <w:style w:type="paragraph" w:customStyle="1" w:styleId="Rientro1">
    <w:name w:val="Rientro 1"/>
    <w:basedOn w:val="Normale"/>
    <w:link w:val="Rientro1Carattere"/>
    <w:qFormat/>
    <w:rsid w:val="00D745AC"/>
    <w:pPr>
      <w:tabs>
        <w:tab w:val="left" w:pos="567"/>
      </w:tabs>
      <w:spacing w:after="120"/>
      <w:ind w:firstLine="284"/>
      <w:jc w:val="both"/>
    </w:pPr>
    <w:rPr>
      <w:rFonts w:eastAsiaTheme="minorHAnsi" w:cstheme="minorBidi"/>
      <w:iCs/>
      <w:sz w:val="22"/>
      <w:szCs w:val="22"/>
      <w:lang w:eastAsia="en-US"/>
    </w:rPr>
  </w:style>
  <w:style w:type="character" w:customStyle="1" w:styleId="Rientro1Carattere">
    <w:name w:val="Rientro 1 Carattere"/>
    <w:basedOn w:val="Carpredefinitoparagrafo"/>
    <w:link w:val="Rientro1"/>
    <w:rsid w:val="00D745AC"/>
    <w:rPr>
      <w:rFonts w:ascii="Times New Roman" w:hAnsi="Times New Roman"/>
      <w:iCs/>
      <w:kern w:val="0"/>
      <w:sz w:val="22"/>
      <w:szCs w:val="22"/>
      <w14:ligatures w14:val="none"/>
    </w:rPr>
  </w:style>
  <w:style w:type="paragraph" w:customStyle="1" w:styleId="Default">
    <w:name w:val="Default"/>
    <w:rsid w:val="009C1E09"/>
    <w:pPr>
      <w:autoSpaceDE w:val="0"/>
      <w:autoSpaceDN w:val="0"/>
      <w:adjustRightInd w:val="0"/>
      <w:spacing w:after="0" w:line="240" w:lineRule="auto"/>
    </w:pPr>
    <w:rPr>
      <w:rFonts w:ascii="Times New Roman" w:hAnsi="Times New Roman" w:cs="Times New Roman"/>
      <w:color w:val="000000"/>
      <w:kern w:val="0"/>
    </w:rPr>
  </w:style>
  <w:style w:type="paragraph" w:customStyle="1" w:styleId="CM4">
    <w:name w:val="CM4"/>
    <w:basedOn w:val="Normale"/>
    <w:next w:val="Normale"/>
    <w:uiPriority w:val="99"/>
    <w:rsid w:val="000E3BC2"/>
    <w:pPr>
      <w:autoSpaceDE w:val="0"/>
      <w:autoSpaceDN w:val="0"/>
      <w:adjustRightInd w:val="0"/>
    </w:pPr>
    <w:rPr>
      <w:rFonts w:ascii="EU Albertina" w:eastAsiaTheme="minorHAnsi" w:hAnsi="EU Albertina" w:cstheme="minorBidi"/>
      <w:sz w:val="24"/>
      <w:lang w:eastAsia="en-US"/>
    </w:rPr>
  </w:style>
  <w:style w:type="paragraph" w:styleId="Intestazione">
    <w:name w:val="header"/>
    <w:basedOn w:val="Normale"/>
    <w:link w:val="IntestazioneCarattere"/>
    <w:uiPriority w:val="99"/>
    <w:unhideWhenUsed/>
    <w:rsid w:val="00AA0475"/>
    <w:pPr>
      <w:tabs>
        <w:tab w:val="center" w:pos="4819"/>
        <w:tab w:val="right" w:pos="9638"/>
      </w:tabs>
    </w:pPr>
  </w:style>
  <w:style w:type="character" w:customStyle="1" w:styleId="IntestazioneCarattere">
    <w:name w:val="Intestazione Carattere"/>
    <w:basedOn w:val="Carpredefinitoparagrafo"/>
    <w:link w:val="Intestazione"/>
    <w:uiPriority w:val="99"/>
    <w:rsid w:val="00AA0475"/>
    <w:rPr>
      <w:rFonts w:ascii="Times New Roman" w:eastAsia="Times New Roman" w:hAnsi="Times New Roman" w:cs="Times New Roman"/>
      <w:kern w:val="0"/>
      <w:sz w:val="28"/>
      <w:lang w:eastAsia="it-IT"/>
      <w14:ligatures w14:val="none"/>
    </w:rPr>
  </w:style>
  <w:style w:type="paragraph" w:styleId="Pidipagina">
    <w:name w:val="footer"/>
    <w:basedOn w:val="Normale"/>
    <w:link w:val="PidipaginaCarattere"/>
    <w:uiPriority w:val="99"/>
    <w:unhideWhenUsed/>
    <w:rsid w:val="00AA0475"/>
    <w:pPr>
      <w:tabs>
        <w:tab w:val="center" w:pos="4819"/>
        <w:tab w:val="right" w:pos="9638"/>
      </w:tabs>
    </w:pPr>
  </w:style>
  <w:style w:type="character" w:customStyle="1" w:styleId="PidipaginaCarattere">
    <w:name w:val="Piè di pagina Carattere"/>
    <w:basedOn w:val="Carpredefinitoparagrafo"/>
    <w:link w:val="Pidipagina"/>
    <w:uiPriority w:val="99"/>
    <w:rsid w:val="00AA0475"/>
    <w:rPr>
      <w:rFonts w:ascii="Times New Roman" w:eastAsia="Times New Roman" w:hAnsi="Times New Roman" w:cs="Times New Roman"/>
      <w:kern w:val="0"/>
      <w:sz w:val="28"/>
      <w:lang w:eastAsia="it-IT"/>
      <w14:ligatures w14:val="none"/>
    </w:rPr>
  </w:style>
  <w:style w:type="character" w:styleId="Collegamentoipertestuale">
    <w:name w:val="Hyperlink"/>
    <w:basedOn w:val="Carpredefinitoparagrafo"/>
    <w:uiPriority w:val="99"/>
    <w:unhideWhenUsed/>
    <w:rsid w:val="00050C3A"/>
    <w:rPr>
      <w:color w:val="467886" w:themeColor="hyperlink"/>
      <w:u w:val="single"/>
    </w:rPr>
  </w:style>
  <w:style w:type="paragraph" w:customStyle="1" w:styleId="num">
    <w:name w:val="num"/>
    <w:basedOn w:val="Normale"/>
    <w:rsid w:val="00113861"/>
    <w:pPr>
      <w:spacing w:before="100" w:beforeAutospacing="1" w:after="100" w:afterAutospacing="1"/>
    </w:pPr>
    <w:rPr>
      <w:sz w:val="24"/>
    </w:rPr>
  </w:style>
  <w:style w:type="paragraph" w:customStyle="1" w:styleId="rubrica">
    <w:name w:val="rubrica"/>
    <w:basedOn w:val="Normale"/>
    <w:rsid w:val="00113861"/>
    <w:pPr>
      <w:spacing w:before="100" w:beforeAutospacing="1" w:after="100" w:afterAutospacing="1"/>
    </w:pPr>
    <w:rPr>
      <w:sz w:val="24"/>
    </w:rPr>
  </w:style>
  <w:style w:type="paragraph" w:styleId="NormaleWeb">
    <w:name w:val="Normal (Web)"/>
    <w:basedOn w:val="Normale"/>
    <w:uiPriority w:val="99"/>
    <w:semiHidden/>
    <w:unhideWhenUsed/>
    <w:rsid w:val="00113861"/>
    <w:pPr>
      <w:spacing w:before="100" w:beforeAutospacing="1" w:after="100" w:afterAutospacing="1"/>
    </w:pPr>
    <w:rPr>
      <w:sz w:val="24"/>
    </w:rPr>
  </w:style>
  <w:style w:type="paragraph" w:styleId="Testofumetto">
    <w:name w:val="Balloon Text"/>
    <w:basedOn w:val="Normale"/>
    <w:link w:val="TestofumettoCarattere"/>
    <w:uiPriority w:val="99"/>
    <w:semiHidden/>
    <w:unhideWhenUsed/>
    <w:rsid w:val="007F41EC"/>
    <w:rPr>
      <w:rFonts w:ascii="Segoe UI" w:eastAsiaTheme="minorHAnsi" w:hAnsi="Segoe UI" w:cs="Segoe UI"/>
      <w:sz w:val="18"/>
      <w:szCs w:val="18"/>
      <w:lang w:eastAsia="en-US"/>
    </w:rPr>
  </w:style>
  <w:style w:type="character" w:customStyle="1" w:styleId="TestofumettoCarattere">
    <w:name w:val="Testo fumetto Carattere"/>
    <w:basedOn w:val="Carpredefinitoparagrafo"/>
    <w:link w:val="Testofumetto"/>
    <w:uiPriority w:val="99"/>
    <w:semiHidden/>
    <w:rsid w:val="007F41EC"/>
    <w:rPr>
      <w:rFonts w:ascii="Segoe UI" w:hAnsi="Segoe UI" w:cs="Segoe UI"/>
      <w:kern w:val="0"/>
      <w:sz w:val="18"/>
      <w:szCs w:val="18"/>
      <w14:ligatures w14:val="none"/>
    </w:rPr>
  </w:style>
  <w:style w:type="table" w:styleId="Grigliatabella">
    <w:name w:val="Table Grid"/>
    <w:basedOn w:val="Tabellanormale"/>
    <w:uiPriority w:val="39"/>
    <w:rsid w:val="007F41E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7F41EC"/>
    <w:rPr>
      <w:color w:val="605E5C"/>
      <w:shd w:val="clear" w:color="auto" w:fill="E1DFDD"/>
    </w:rPr>
  </w:style>
  <w:style w:type="paragraph" w:styleId="Revisione">
    <w:name w:val="Revision"/>
    <w:hidden/>
    <w:uiPriority w:val="99"/>
    <w:semiHidden/>
    <w:rsid w:val="00583515"/>
    <w:pPr>
      <w:spacing w:after="0" w:line="240" w:lineRule="auto"/>
    </w:pPr>
    <w:rPr>
      <w:rFonts w:ascii="Times New Roman" w:eastAsia="Times New Roman" w:hAnsi="Times New Roman" w:cs="Times New Roman"/>
      <w:kern w:val="0"/>
      <w:sz w:val="28"/>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E3E0A-C431-4D0C-A653-F7A7C32B8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2069</Words>
  <Characters>11799</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Simoncini</dc:creator>
  <cp:keywords/>
  <dc:description/>
  <cp:lastModifiedBy>Enrico Simoncini</cp:lastModifiedBy>
  <cp:revision>55</cp:revision>
  <cp:lastPrinted>2026-10-20T13:01:00Z</cp:lastPrinted>
  <dcterms:created xsi:type="dcterms:W3CDTF">2026-10-20T13:57:00Z</dcterms:created>
  <dcterms:modified xsi:type="dcterms:W3CDTF">2026-10-20T16:02:00Z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2026-10-20T07:12:14Z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86ce6120-fbe3-4009-b9e8-5ea824266908</vt:lpwstr>
  </property>
  <property fmtid="{D5CDD505-2E9C-101B-9397-08002B2CF9AE}" pid="8" name="MSIP_Label_5097a60d-5525-435b-8989-8eb48ac0c8cd_ContentBits">
    <vt:lpwstr>0</vt:lpwstr>
  </property>
  <property fmtid="{D5CDD505-2E9C-101B-9397-08002B2CF9AE}" pid="9" name="MSIP_Label_5097a60d-5525-435b-8989-8eb48ac0c8cd_Tag">
    <vt:lpwstr>10, 3, 0, 1</vt:lpwstr>
  </property>
</Properties>
</file>